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4A0" w:firstRow="1" w:lastRow="0" w:firstColumn="1" w:lastColumn="0" w:noHBand="0" w:noVBand="1"/>
      </w:tblPr>
      <w:tblGrid>
        <w:gridCol w:w="4503"/>
        <w:gridCol w:w="5953"/>
      </w:tblGrid>
      <w:tr w:rsidR="008B3222" w:rsidRPr="008B3222" w:rsidTr="00725D86">
        <w:trPr>
          <w:trHeight w:val="841"/>
        </w:trPr>
        <w:tc>
          <w:tcPr>
            <w:tcW w:w="4503" w:type="dxa"/>
            <w:shd w:val="clear" w:color="auto" w:fill="auto"/>
          </w:tcPr>
          <w:p w:rsidR="008B3222" w:rsidRPr="008B3222" w:rsidRDefault="008B3222" w:rsidP="008B3222">
            <w:pPr>
              <w:pStyle w:val="Heading5"/>
              <w:tabs>
                <w:tab w:val="center" w:pos="1680"/>
                <w:tab w:val="center" w:pos="6240"/>
              </w:tabs>
              <w:jc w:val="center"/>
              <w:rPr>
                <w:szCs w:val="28"/>
              </w:rPr>
            </w:pPr>
            <w:r w:rsidRPr="008B3222">
              <w:rPr>
                <w:szCs w:val="28"/>
              </w:rPr>
              <w:t>HỘI ĐỒNG THUỐC VÀ ĐIỀU TRỊ</w:t>
            </w:r>
          </w:p>
          <w:p w:rsidR="008B3222" w:rsidRPr="008B3222" w:rsidRDefault="008B3222" w:rsidP="008B3222">
            <w:pPr>
              <w:spacing w:after="0" w:line="240" w:lineRule="auto"/>
              <w:jc w:val="center"/>
              <w:rPr>
                <w:rFonts w:ascii="Times New Roman" w:hAnsi="Times New Roman" w:cs="Times New Roman"/>
                <w:b/>
                <w:szCs w:val="28"/>
              </w:rPr>
            </w:pPr>
            <w:r w:rsidRPr="008B3222">
              <w:rPr>
                <w:rFonts w:ascii="Times New Roman" w:hAnsi="Times New Roman" w:cs="Times New Roman"/>
                <w:noProof/>
                <w:spacing w:val="-10"/>
                <w:szCs w:val="28"/>
              </w:rPr>
              <mc:AlternateContent>
                <mc:Choice Requires="wps">
                  <w:drawing>
                    <wp:anchor distT="4294967295" distB="4294967295" distL="114300" distR="114300" simplePos="0" relativeHeight="251659264" behindDoc="0" locked="0" layoutInCell="1" allowOverlap="1" wp14:anchorId="2EFEB37B" wp14:editId="7C38355F">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Pr="008B3222">
              <w:rPr>
                <w:rFonts w:ascii="Times New Roman" w:hAnsi="Times New Roman" w:cs="Times New Roman"/>
                <w:b/>
                <w:spacing w:val="-10"/>
                <w:szCs w:val="28"/>
                <w:lang w:val="vi-VN"/>
              </w:rPr>
              <w:t xml:space="preserve">ĐƠN VỊ </w:t>
            </w:r>
            <w:r w:rsidRPr="008B3222">
              <w:rPr>
                <w:rFonts w:ascii="Times New Roman" w:hAnsi="Times New Roman" w:cs="Times New Roman"/>
                <w:b/>
                <w:spacing w:val="-10"/>
                <w:szCs w:val="28"/>
              </w:rPr>
              <w:t>THÔNG TIN THUỐC</w:t>
            </w:r>
          </w:p>
        </w:tc>
        <w:tc>
          <w:tcPr>
            <w:tcW w:w="5953" w:type="dxa"/>
            <w:shd w:val="clear" w:color="auto" w:fill="auto"/>
          </w:tcPr>
          <w:p w:rsidR="008B3222" w:rsidRPr="008B3222" w:rsidRDefault="008B3222" w:rsidP="008B3222">
            <w:pPr>
              <w:pStyle w:val="Heading5"/>
              <w:tabs>
                <w:tab w:val="center" w:pos="1680"/>
                <w:tab w:val="center" w:pos="6240"/>
              </w:tabs>
              <w:jc w:val="center"/>
              <w:rPr>
                <w:b/>
                <w:spacing w:val="-10"/>
                <w:szCs w:val="28"/>
              </w:rPr>
            </w:pPr>
            <w:r w:rsidRPr="008B3222">
              <w:rPr>
                <w:b/>
                <w:spacing w:val="-10"/>
                <w:szCs w:val="28"/>
              </w:rPr>
              <w:t>CỘNG HÒA XÃ HỘI CHỦ NGHĨA VIỆT NAM</w:t>
            </w:r>
          </w:p>
          <w:p w:rsidR="008B3222" w:rsidRPr="008B3222" w:rsidRDefault="008B3222" w:rsidP="008B3222">
            <w:pPr>
              <w:pStyle w:val="Heading5"/>
              <w:tabs>
                <w:tab w:val="center" w:pos="1680"/>
                <w:tab w:val="center" w:pos="6240"/>
              </w:tabs>
              <w:jc w:val="center"/>
              <w:rPr>
                <w:b/>
                <w:spacing w:val="-10"/>
                <w:szCs w:val="28"/>
              </w:rPr>
            </w:pPr>
            <w:r w:rsidRPr="008B3222">
              <w:rPr>
                <w:b/>
                <w:noProof/>
                <w:spacing w:val="-10"/>
                <w:szCs w:val="28"/>
              </w:rPr>
              <mc:AlternateContent>
                <mc:Choice Requires="wps">
                  <w:drawing>
                    <wp:anchor distT="4294967295" distB="4294967295" distL="114300" distR="114300" simplePos="0" relativeHeight="251660288" behindDoc="0" locked="0" layoutInCell="1" allowOverlap="1" wp14:anchorId="1364667D" wp14:editId="0DBC8F52">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Pr="008B3222">
              <w:rPr>
                <w:b/>
                <w:spacing w:val="-10"/>
                <w:szCs w:val="28"/>
              </w:rPr>
              <w:t>Độc lập - Tự do - Hạnh phúc</w:t>
            </w:r>
          </w:p>
        </w:tc>
      </w:tr>
      <w:tr w:rsidR="008B3222" w:rsidRPr="008B3222" w:rsidTr="00725D86">
        <w:tc>
          <w:tcPr>
            <w:tcW w:w="4503" w:type="dxa"/>
            <w:shd w:val="clear" w:color="auto" w:fill="auto"/>
          </w:tcPr>
          <w:p w:rsidR="008B3222" w:rsidRPr="008B3222" w:rsidRDefault="008B3222" w:rsidP="008B3222">
            <w:pPr>
              <w:jc w:val="center"/>
              <w:rPr>
                <w:rFonts w:ascii="Times New Roman" w:hAnsi="Times New Roman" w:cs="Times New Roman"/>
                <w:lang w:val="vi-VN"/>
              </w:rPr>
            </w:pPr>
          </w:p>
        </w:tc>
        <w:tc>
          <w:tcPr>
            <w:tcW w:w="5953" w:type="dxa"/>
            <w:shd w:val="clear" w:color="auto" w:fill="auto"/>
          </w:tcPr>
          <w:p w:rsidR="008B3222" w:rsidRPr="008B3222" w:rsidRDefault="008B3222" w:rsidP="008B3222">
            <w:pPr>
              <w:pStyle w:val="Heading5"/>
              <w:tabs>
                <w:tab w:val="center" w:pos="1680"/>
                <w:tab w:val="center" w:pos="6240"/>
              </w:tabs>
              <w:jc w:val="center"/>
              <w:rPr>
                <w:spacing w:val="-10"/>
                <w:szCs w:val="28"/>
              </w:rPr>
            </w:pPr>
          </w:p>
        </w:tc>
      </w:tr>
    </w:tbl>
    <w:p w:rsidR="008B3222" w:rsidRPr="008B3222" w:rsidRDefault="008F5FDE" w:rsidP="008F5FDE">
      <w:pPr>
        <w:spacing w:after="0" w:line="240" w:lineRule="auto"/>
        <w:rPr>
          <w:rFonts w:ascii="Times New Roman" w:hAnsi="Times New Roman" w:cs="Times New Roman"/>
          <w:b/>
          <w:sz w:val="32"/>
          <w:szCs w:val="32"/>
        </w:rPr>
      </w:pPr>
      <w:r>
        <w:rPr>
          <w:rFonts w:ascii="Times New Roman" w:hAnsi="Times New Roman" w:cs="Times New Roman"/>
          <w:b/>
          <w:sz w:val="32"/>
          <w:szCs w:val="32"/>
          <w:lang w:val="vi-VN"/>
        </w:rPr>
        <w:t xml:space="preserve">              </w:t>
      </w:r>
      <w:r w:rsidR="008B3222" w:rsidRPr="008B3222">
        <w:rPr>
          <w:rFonts w:ascii="Times New Roman" w:hAnsi="Times New Roman" w:cs="Times New Roman"/>
          <w:b/>
          <w:sz w:val="32"/>
          <w:szCs w:val="32"/>
          <w:lang w:val="vi-VN"/>
        </w:rPr>
        <w:t xml:space="preserve">BẢNG TIN </w:t>
      </w:r>
      <w:r w:rsidR="008B3222" w:rsidRPr="008B3222">
        <w:rPr>
          <w:rFonts w:ascii="Times New Roman" w:hAnsi="Times New Roman" w:cs="Times New Roman"/>
          <w:b/>
          <w:sz w:val="32"/>
          <w:szCs w:val="32"/>
        </w:rPr>
        <w:t>THÔNG TIN THUỐC THÁNG 0</w:t>
      </w:r>
      <w:r w:rsidR="008B3222">
        <w:rPr>
          <w:rFonts w:ascii="Times New Roman" w:hAnsi="Times New Roman" w:cs="Times New Roman"/>
          <w:b/>
          <w:sz w:val="32"/>
          <w:szCs w:val="32"/>
        </w:rPr>
        <w:t>9</w:t>
      </w:r>
      <w:r w:rsidR="008B3222" w:rsidRPr="008B3222">
        <w:rPr>
          <w:rFonts w:ascii="Times New Roman" w:hAnsi="Times New Roman" w:cs="Times New Roman"/>
          <w:b/>
          <w:sz w:val="32"/>
          <w:szCs w:val="32"/>
        </w:rPr>
        <w:t>/2024</w:t>
      </w:r>
    </w:p>
    <w:p w:rsidR="008B3222" w:rsidRPr="008B3222" w:rsidRDefault="008B3222" w:rsidP="008B3222">
      <w:pPr>
        <w:spacing w:after="0" w:line="240" w:lineRule="auto"/>
        <w:jc w:val="center"/>
        <w:rPr>
          <w:rFonts w:ascii="Times New Roman" w:eastAsia="Times New Roman" w:hAnsi="Times New Roman" w:cs="Times New Roman"/>
          <w:b/>
          <w:bCs/>
          <w:color w:val="FF0000"/>
          <w:sz w:val="28"/>
          <w:szCs w:val="28"/>
          <w:highlight w:val="yellow"/>
        </w:rPr>
      </w:pPr>
    </w:p>
    <w:p w:rsidR="00521983" w:rsidRDefault="000C63FE" w:rsidP="00521983">
      <w:pPr>
        <w:spacing w:after="0" w:line="240" w:lineRule="auto"/>
        <w:rPr>
          <w:rFonts w:ascii="Times New Roman" w:eastAsia="Times New Roman" w:hAnsi="Times New Roman" w:cs="Times New Roman"/>
          <w:b/>
          <w:bCs/>
          <w:color w:val="006666"/>
          <w:sz w:val="28"/>
          <w:szCs w:val="28"/>
          <w:lang w:val="vi-VN"/>
        </w:rPr>
      </w:pPr>
      <w:r w:rsidRPr="00521983">
        <w:rPr>
          <w:rFonts w:ascii="Times New Roman" w:eastAsia="Times New Roman" w:hAnsi="Times New Roman" w:cs="Times New Roman"/>
          <w:b/>
          <w:bCs/>
          <w:color w:val="FF0000"/>
          <w:sz w:val="28"/>
          <w:szCs w:val="28"/>
          <w:highlight w:val="yellow"/>
          <w:lang w:val="vi-VN"/>
        </w:rPr>
        <w:t>I .</w:t>
      </w:r>
      <w:r w:rsidR="004E12FF" w:rsidRPr="00521983">
        <w:rPr>
          <w:rFonts w:ascii="Times New Roman" w:eastAsia="Times New Roman" w:hAnsi="Times New Roman" w:cs="Times New Roman"/>
          <w:b/>
          <w:bCs/>
          <w:color w:val="FF0000"/>
          <w:sz w:val="28"/>
          <w:szCs w:val="28"/>
          <w:highlight w:val="yellow"/>
        </w:rPr>
        <w:t>Tương tác thuốc giữa clopidogrel và thuốc ức chế bơm proton (PPI): Thông tin từ Tổ chức Chuyên gia Dược tại Anh</w:t>
      </w:r>
    </w:p>
    <w:p w:rsidR="004E12FF" w:rsidRPr="00521983" w:rsidRDefault="004E12FF" w:rsidP="00521983">
      <w:pPr>
        <w:spacing w:after="0" w:line="240" w:lineRule="auto"/>
        <w:jc w:val="both"/>
        <w:rPr>
          <w:rFonts w:ascii="Times New Roman" w:eastAsia="Times New Roman" w:hAnsi="Times New Roman" w:cs="Times New Roman"/>
          <w:b/>
          <w:bCs/>
          <w:color w:val="006666"/>
          <w:sz w:val="28"/>
          <w:szCs w:val="28"/>
          <w:lang w:val="vi-VN"/>
        </w:rPr>
      </w:pPr>
      <w:r w:rsidRPr="00521983">
        <w:rPr>
          <w:rFonts w:ascii="Times New Roman" w:eastAsia="Times New Roman" w:hAnsi="Times New Roman" w:cs="Times New Roman"/>
          <w:b/>
          <w:bCs/>
          <w:color w:val="414141"/>
          <w:sz w:val="28"/>
          <w:szCs w:val="28"/>
        </w:rPr>
        <w:t xml:space="preserve">Không khuyến cáo sử dụng đồng thời clopidogrel với omeprazol hoặc esomeprazol do tương tác thuốc có ý nghĩa trên lâm sàng. </w:t>
      </w:r>
      <w:proofErr w:type="gramStart"/>
      <w:r w:rsidRPr="00521983">
        <w:rPr>
          <w:rFonts w:ascii="Times New Roman" w:eastAsia="Times New Roman" w:hAnsi="Times New Roman" w:cs="Times New Roman"/>
          <w:b/>
          <w:bCs/>
          <w:color w:val="414141"/>
          <w:sz w:val="28"/>
          <w:szCs w:val="28"/>
        </w:rPr>
        <w:t>Có thể sử dụng clopidogrel đồng thời với các PPI khác.</w:t>
      </w:r>
      <w:proofErr w:type="gramEnd"/>
    </w:p>
    <w:p w:rsidR="004E12FF" w:rsidRPr="00521983" w:rsidRDefault="004E12FF" w:rsidP="008F5FDE">
      <w:pPr>
        <w:spacing w:after="0" w:line="240" w:lineRule="auto"/>
        <w:ind w:firstLine="720"/>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000000"/>
          <w:sz w:val="28"/>
          <w:szCs w:val="28"/>
        </w:rPr>
        <w:t>Nguy cơ khi sử dụng thuốc đồng thời: </w:t>
      </w:r>
      <w:r w:rsidR="008F5FDE">
        <w:rPr>
          <w:rFonts w:ascii="Times New Roman" w:eastAsia="Times New Roman" w:hAnsi="Times New Roman" w:cs="Times New Roman"/>
          <w:color w:val="414141"/>
          <w:sz w:val="28"/>
          <w:szCs w:val="28"/>
          <w:lang w:val="vi-VN"/>
        </w:rPr>
        <w:t xml:space="preserve"> </w:t>
      </w:r>
      <w:r w:rsidRPr="00521983">
        <w:rPr>
          <w:rFonts w:ascii="Times New Roman" w:eastAsia="Times New Roman" w:hAnsi="Times New Roman" w:cs="Times New Roman"/>
          <w:color w:val="000000"/>
          <w:sz w:val="28"/>
          <w:szCs w:val="28"/>
        </w:rPr>
        <w:t>Theo cơ chế tác dụng, clopidogrel có thể dẫn đến tác dụng không mong muốn trên đường tiêu hóa như xuất huyết, khó tiêu và loét đường tiêu hóa. Thuốc ức chế bơm proton (PPI) thường được kê đơn đồng thời với clopidogrel nhằm giảm thiểu nguy cơ gặp tác dụng không mong muốn nêu trên ở bệnh nhân có nguy cơ cao. </w:t>
      </w:r>
    </w:p>
    <w:p w:rsidR="004E12FF" w:rsidRPr="00521983" w:rsidRDefault="004E12FF" w:rsidP="008F5FDE">
      <w:pPr>
        <w:spacing w:after="0" w:line="240" w:lineRule="auto"/>
        <w:ind w:firstLine="720"/>
        <w:jc w:val="both"/>
        <w:rPr>
          <w:rFonts w:ascii="Times New Roman" w:eastAsia="Times New Roman" w:hAnsi="Times New Roman" w:cs="Times New Roman"/>
          <w:color w:val="414141"/>
          <w:sz w:val="28"/>
          <w:szCs w:val="28"/>
        </w:rPr>
      </w:pPr>
      <w:proofErr w:type="gramStart"/>
      <w:r w:rsidRPr="00521983">
        <w:rPr>
          <w:rFonts w:ascii="Times New Roman" w:eastAsia="Times New Roman" w:hAnsi="Times New Roman" w:cs="Times New Roman"/>
          <w:color w:val="000000"/>
          <w:sz w:val="28"/>
          <w:szCs w:val="28"/>
        </w:rPr>
        <w:t>Trong trường hợp kiểm soát tác dụng không mong muốn, việc sử dụng đồng thời hai thuốc lại có nguy cơ tương tác thuốc.</w:t>
      </w:r>
      <w:proofErr w:type="gramEnd"/>
      <w:r w:rsidRPr="00521983">
        <w:rPr>
          <w:rFonts w:ascii="Times New Roman" w:eastAsia="Times New Roman" w:hAnsi="Times New Roman" w:cs="Times New Roman"/>
          <w:color w:val="000000"/>
          <w:sz w:val="28"/>
          <w:szCs w:val="28"/>
        </w:rPr>
        <w:t xml:space="preserve"> </w:t>
      </w:r>
      <w:proofErr w:type="gramStart"/>
      <w:r w:rsidRPr="00521983">
        <w:rPr>
          <w:rFonts w:ascii="Times New Roman" w:eastAsia="Times New Roman" w:hAnsi="Times New Roman" w:cs="Times New Roman"/>
          <w:color w:val="000000"/>
          <w:sz w:val="28"/>
          <w:szCs w:val="28"/>
        </w:rPr>
        <w:t>Clopidogrel là tiền thuốc được hoạt hóa nhờ enzym CYP2C19.</w:t>
      </w:r>
      <w:proofErr w:type="gramEnd"/>
      <w:r w:rsidRPr="00521983">
        <w:rPr>
          <w:rFonts w:ascii="Times New Roman" w:eastAsia="Times New Roman" w:hAnsi="Times New Roman" w:cs="Times New Roman"/>
          <w:color w:val="000000"/>
          <w:sz w:val="28"/>
          <w:szCs w:val="28"/>
        </w:rPr>
        <w:t xml:space="preserve"> </w:t>
      </w:r>
      <w:proofErr w:type="gramStart"/>
      <w:r w:rsidRPr="00521983">
        <w:rPr>
          <w:rFonts w:ascii="Times New Roman" w:eastAsia="Times New Roman" w:hAnsi="Times New Roman" w:cs="Times New Roman"/>
          <w:color w:val="000000"/>
          <w:sz w:val="28"/>
          <w:szCs w:val="28"/>
        </w:rPr>
        <w:t>Omeprazol/esomeprazol ức chế enzym CYP2C19, làm giảm nồng độ clopidogrel có hoạt tính trong huyết thanh khi sử dụng đồng thời.</w:t>
      </w:r>
      <w:proofErr w:type="gramEnd"/>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Các PPI khác có thể ức chế CYP2C19 ở mức độ thấp hơn và tương tác thuốc chưa có ý nghĩa trên lâm sàng</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lang w:val="vi-VN"/>
        </w:rPr>
      </w:pPr>
      <w:r w:rsidRPr="00521983">
        <w:rPr>
          <w:rFonts w:ascii="Times New Roman" w:eastAsia="Times New Roman" w:hAnsi="Times New Roman" w:cs="Times New Roman"/>
          <w:color w:val="414141"/>
          <w:sz w:val="28"/>
          <w:szCs w:val="28"/>
        </w:rPr>
        <w:t> </w:t>
      </w:r>
      <w:r w:rsidR="008F5FDE">
        <w:rPr>
          <w:rFonts w:ascii="Times New Roman" w:eastAsia="Times New Roman" w:hAnsi="Times New Roman" w:cs="Times New Roman"/>
          <w:color w:val="414141"/>
          <w:sz w:val="28"/>
          <w:szCs w:val="28"/>
          <w:lang w:val="vi-VN"/>
        </w:rPr>
        <w:tab/>
      </w:r>
      <w:r w:rsidRPr="00521983">
        <w:rPr>
          <w:rFonts w:ascii="Times New Roman" w:eastAsia="Times New Roman" w:hAnsi="Times New Roman" w:cs="Times New Roman"/>
          <w:b/>
          <w:bCs/>
          <w:i/>
          <w:iCs/>
          <w:color w:val="000000"/>
          <w:sz w:val="28"/>
          <w:szCs w:val="28"/>
        </w:rPr>
        <w:t>Mức độ cần thiết của việc phối hợp clopidogrel và PPI: </w:t>
      </w:r>
      <w:r w:rsidR="008F5FDE">
        <w:rPr>
          <w:rFonts w:ascii="Times New Roman" w:eastAsia="Times New Roman" w:hAnsi="Times New Roman" w:cs="Times New Roman"/>
          <w:color w:val="414141"/>
          <w:sz w:val="28"/>
          <w:szCs w:val="28"/>
          <w:lang w:val="vi-VN"/>
        </w:rPr>
        <w:tab/>
      </w:r>
      <w:r w:rsidRPr="00521983">
        <w:rPr>
          <w:rFonts w:ascii="Times New Roman" w:eastAsia="Times New Roman" w:hAnsi="Times New Roman" w:cs="Times New Roman"/>
          <w:color w:val="000000"/>
          <w:sz w:val="28"/>
          <w:szCs w:val="28"/>
        </w:rPr>
        <w:t>Viện Y tế và Chất lượng Điều trị Quốc gia Anh (National Institute of Health and Care Excellence - NICE) khuyến cáo bắt đầu sử dụng PPI trên bệnh nhân đang sử dụng clopidogrel có nguy cơ cao gặp tác dụng không mong muốn trên đường tiêu hóa. Các yếu tố nguy cơ bao gồm:</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Tuổi cao (đặc biệt trên 75 tuổi)</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Tiền sử loét dạ dày tá tràng, xuất huyết đường tiêu hóa hoặc thủng dạ dày tá tràng</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 Nhiễm </w:t>
      </w:r>
      <w:r w:rsidRPr="00521983">
        <w:rPr>
          <w:rFonts w:ascii="Times New Roman" w:eastAsia="Times New Roman" w:hAnsi="Times New Roman" w:cs="Times New Roman"/>
          <w:i/>
          <w:iCs/>
          <w:color w:val="000000"/>
          <w:sz w:val="28"/>
          <w:szCs w:val="28"/>
        </w:rPr>
        <w:t>Helicobacter pylori</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Sử dụng đồng thời các thuốc được biết có thể tăng nguy cơ xuất huyết đường tiêu hóa</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b/>
          <w:bCs/>
          <w:i/>
          <w:iCs/>
          <w:color w:val="000000"/>
          <w:sz w:val="28"/>
          <w:szCs w:val="28"/>
        </w:rPr>
        <w:t>Bắt đầu sử dụng PPI: </w:t>
      </w:r>
      <w:r w:rsidRPr="00521983">
        <w:rPr>
          <w:rFonts w:ascii="Times New Roman" w:eastAsia="Times New Roman" w:hAnsi="Times New Roman" w:cs="Times New Roman"/>
          <w:color w:val="000000"/>
          <w:sz w:val="28"/>
          <w:szCs w:val="28"/>
        </w:rPr>
        <w:t xml:space="preserve">Với bệnh nhân đang sử dụng clopidogrel cần phải sử dụng PPI, không sử dụng omeprazol/esomeprazol. </w:t>
      </w:r>
      <w:proofErr w:type="gramStart"/>
      <w:r w:rsidRPr="00521983">
        <w:rPr>
          <w:rFonts w:ascii="Times New Roman" w:eastAsia="Times New Roman" w:hAnsi="Times New Roman" w:cs="Times New Roman"/>
          <w:color w:val="000000"/>
          <w:sz w:val="28"/>
          <w:szCs w:val="28"/>
        </w:rPr>
        <w:t>Ưu tiên sử dụng lansoprazol, pantoprazol hoặc rabeprazol.</w:t>
      </w:r>
      <w:proofErr w:type="gramEnd"/>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b/>
          <w:bCs/>
          <w:i/>
          <w:iCs/>
          <w:color w:val="000000"/>
          <w:sz w:val="28"/>
          <w:szCs w:val="28"/>
        </w:rPr>
        <w:t>Bắt đầu sử dụng clopidogrel:</w:t>
      </w:r>
      <w:r w:rsidRPr="00521983">
        <w:rPr>
          <w:rFonts w:ascii="Times New Roman" w:eastAsia="Times New Roman" w:hAnsi="Times New Roman" w:cs="Times New Roman"/>
          <w:color w:val="000000"/>
          <w:sz w:val="28"/>
          <w:szCs w:val="28"/>
        </w:rPr>
        <w:t> Với bệnh nhân đang sử dụng omeprazol/esomeprazol cần phải sử dụng clopidogrel, nên chuyển sang sử dụng PPI khác, gồm lansoprazol, pantoprazol hoặc rabeprazol</w:t>
      </w:r>
    </w:p>
    <w:p w:rsidR="00521983" w:rsidRDefault="004E12FF" w:rsidP="00521983">
      <w:pPr>
        <w:spacing w:after="0" w:line="240" w:lineRule="auto"/>
        <w:jc w:val="both"/>
        <w:rPr>
          <w:rFonts w:ascii="Times New Roman" w:eastAsia="Times New Roman" w:hAnsi="Times New Roman" w:cs="Times New Roman"/>
          <w:color w:val="414141"/>
          <w:sz w:val="28"/>
          <w:szCs w:val="28"/>
          <w:lang w:val="vi-VN"/>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b/>
          <w:bCs/>
          <w:color w:val="000000"/>
          <w:sz w:val="28"/>
          <w:szCs w:val="28"/>
        </w:rPr>
        <w:t>Khuyến cáo từ Hiệp hội chuyên môn:</w:t>
      </w:r>
      <w:r w:rsidRPr="00521983">
        <w:rPr>
          <w:rFonts w:ascii="Times New Roman" w:eastAsia="Times New Roman" w:hAnsi="Times New Roman" w:cs="Times New Roman"/>
          <w:color w:val="000000"/>
          <w:sz w:val="28"/>
          <w:szCs w:val="28"/>
        </w:rPr>
        <w:t xml:space="preserve"> Hiệp hội Tim mạch Châu Âu nhận định rằng omeprazol/esomeprazol có tương tác thuốc có ý nghĩa trên lâm sàng với </w:t>
      </w:r>
      <w:r w:rsidRPr="00521983">
        <w:rPr>
          <w:rFonts w:ascii="Times New Roman" w:eastAsia="Times New Roman" w:hAnsi="Times New Roman" w:cs="Times New Roman"/>
          <w:color w:val="000000"/>
          <w:sz w:val="28"/>
          <w:szCs w:val="28"/>
        </w:rPr>
        <w:lastRenderedPageBreak/>
        <w:t xml:space="preserve">clopidogrel. </w:t>
      </w:r>
      <w:proofErr w:type="gramStart"/>
      <w:r w:rsidRPr="00521983">
        <w:rPr>
          <w:rFonts w:ascii="Times New Roman" w:eastAsia="Times New Roman" w:hAnsi="Times New Roman" w:cs="Times New Roman"/>
          <w:color w:val="000000"/>
          <w:sz w:val="28"/>
          <w:szCs w:val="28"/>
        </w:rPr>
        <w:t>Lansoprazol có nguy cơ trung bình, pantoprazol và rabeprazol có nguy cơ thấp gặp tương tác trên.</w:t>
      </w:r>
      <w:proofErr w:type="gramEnd"/>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000000"/>
          <w:sz w:val="28"/>
          <w:szCs w:val="28"/>
        </w:rPr>
        <w:t>Khuyến cáo từ cơ quan quản lý</w:t>
      </w:r>
      <w:r w:rsidRPr="00521983">
        <w:rPr>
          <w:rFonts w:ascii="Times New Roman" w:eastAsia="Times New Roman" w:hAnsi="Times New Roman" w:cs="Times New Roman"/>
          <w:color w:val="000000"/>
          <w:sz w:val="28"/>
          <w:szCs w:val="28"/>
        </w:rPr>
        <w:t>: Cơ quan Quản lý Dược phẩm Anh (MHRA) và Cơ quan Dược phẩm Châu Âu (EMA) không khuyến cáo sử dụng đồng thời clopidogrel với omeprazol/esomeprazol. </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b/>
          <w:bCs/>
          <w:color w:val="000000"/>
          <w:sz w:val="28"/>
          <w:szCs w:val="28"/>
        </w:rPr>
        <w:t>Thông tin sản phẩm</w:t>
      </w:r>
      <w:r w:rsidRPr="00521983">
        <w:rPr>
          <w:rFonts w:ascii="Times New Roman" w:eastAsia="Times New Roman" w:hAnsi="Times New Roman" w:cs="Times New Roman"/>
          <w:color w:val="000000"/>
          <w:sz w:val="28"/>
          <w:szCs w:val="28"/>
        </w:rPr>
        <w:t>: </w:t>
      </w:r>
    </w:p>
    <w:p w:rsidR="004E12FF" w:rsidRPr="00521983" w:rsidRDefault="004E12FF" w:rsidP="00D33566">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Clopidogrel: không khuyến cáo sử dụng đồng thời với omeprazol/esomeprazol. Tương tác với lansoprazol và pantoprazol ít có ý nghĩa lâm sàng hơn.</w:t>
      </w:r>
    </w:p>
    <w:p w:rsidR="004E12FF" w:rsidRPr="00521983" w:rsidRDefault="004E12FF" w:rsidP="0052198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Omeprazol/esomeprazol: không khuyến cáo sử dụng đồng thời với clopidogrel.</w:t>
      </w:r>
    </w:p>
    <w:p w:rsidR="004E12FF" w:rsidRPr="00521983" w:rsidRDefault="004E12FF" w:rsidP="0052198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Lansoprazol, pantoprazol và rabeprazol: không đề cập đến tương tác với clopidogrel.</w:t>
      </w:r>
    </w:p>
    <w:p w:rsidR="004E12FF" w:rsidRPr="00521983" w:rsidRDefault="004E12FF" w:rsidP="008F5FDE">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b/>
          <w:bCs/>
          <w:color w:val="000000"/>
          <w:sz w:val="28"/>
          <w:szCs w:val="28"/>
        </w:rPr>
        <w:t>Bằng chứng trên y văn: </w:t>
      </w:r>
      <w:r w:rsidRPr="00521983">
        <w:rPr>
          <w:rFonts w:ascii="Times New Roman" w:eastAsia="Times New Roman" w:hAnsi="Times New Roman" w:cs="Times New Roman"/>
          <w:color w:val="000000"/>
          <w:sz w:val="28"/>
          <w:szCs w:val="28"/>
        </w:rPr>
        <w:t xml:space="preserve">Do tác động của PPI lên hiệu quả của clopidogrel trên hệ </w:t>
      </w:r>
      <w:proofErr w:type="gramStart"/>
      <w:r w:rsidRPr="00521983">
        <w:rPr>
          <w:rFonts w:ascii="Times New Roman" w:eastAsia="Times New Roman" w:hAnsi="Times New Roman" w:cs="Times New Roman"/>
          <w:color w:val="000000"/>
          <w:sz w:val="28"/>
          <w:szCs w:val="28"/>
        </w:rPr>
        <w:t>tim</w:t>
      </w:r>
      <w:proofErr w:type="gramEnd"/>
      <w:r w:rsidRPr="00521983">
        <w:rPr>
          <w:rFonts w:ascii="Times New Roman" w:eastAsia="Times New Roman" w:hAnsi="Times New Roman" w:cs="Times New Roman"/>
          <w:color w:val="000000"/>
          <w:sz w:val="28"/>
          <w:szCs w:val="28"/>
        </w:rPr>
        <w:t xml:space="preserve"> mạch chưa rõ ràng, khuyến cáo về quản lý tương tác thuốc dựa trên dữ liệu dược động học.</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i/>
          <w:iCs/>
          <w:color w:val="000000"/>
          <w:sz w:val="28"/>
          <w:szCs w:val="28"/>
        </w:rPr>
        <w:t>Dữ liệu dược động học:</w:t>
      </w:r>
    </w:p>
    <w:p w:rsidR="004E12FF" w:rsidRPr="00521983" w:rsidRDefault="004E12FF" w:rsidP="0052198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xml:space="preserve">- Omeprazol/esomeprazol: liều cao omeprazol </w:t>
      </w:r>
      <w:proofErr w:type="gramStart"/>
      <w:r w:rsidRPr="00521983">
        <w:rPr>
          <w:rFonts w:ascii="Times New Roman" w:eastAsia="Times New Roman" w:hAnsi="Times New Roman" w:cs="Times New Roman"/>
          <w:color w:val="414141"/>
          <w:sz w:val="28"/>
          <w:szCs w:val="28"/>
        </w:rPr>
        <w:t>(80 mg/ngày)</w:t>
      </w:r>
      <w:proofErr w:type="gramEnd"/>
      <w:r w:rsidRPr="00521983">
        <w:rPr>
          <w:rFonts w:ascii="Times New Roman" w:eastAsia="Times New Roman" w:hAnsi="Times New Roman" w:cs="Times New Roman"/>
          <w:color w:val="414141"/>
          <w:sz w:val="28"/>
          <w:szCs w:val="28"/>
        </w:rPr>
        <w:t xml:space="preserve"> làm giảm 49% nồng độ tối đa của clopidogrel trong huyết thanh. </w:t>
      </w:r>
      <w:proofErr w:type="gramStart"/>
      <w:r w:rsidRPr="00521983">
        <w:rPr>
          <w:rFonts w:ascii="Times New Roman" w:eastAsia="Times New Roman" w:hAnsi="Times New Roman" w:cs="Times New Roman"/>
          <w:color w:val="414141"/>
          <w:sz w:val="28"/>
          <w:szCs w:val="28"/>
        </w:rPr>
        <w:t>Liều omeprazol thấp hơn (20 mg/ngày) làm giảm nồng độ tối đa của clopidogrel huyết tương ít hơn (giảm 32%).</w:t>
      </w:r>
      <w:proofErr w:type="gramEnd"/>
      <w:r w:rsidRPr="00521983">
        <w:rPr>
          <w:rFonts w:ascii="Times New Roman" w:eastAsia="Times New Roman" w:hAnsi="Times New Roman" w:cs="Times New Roman"/>
          <w:color w:val="414141"/>
          <w:sz w:val="28"/>
          <w:szCs w:val="28"/>
        </w:rPr>
        <w:t> </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color w:val="000000"/>
          <w:sz w:val="28"/>
          <w:szCs w:val="28"/>
        </w:rPr>
        <w:t>- Esomeprazol có tương tác tương tự với clopidogrel.</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xml:space="preserve"> - Lansoprazol (30 mg/ngày) không làm giảm tổng nồng độ clopidogrel. </w:t>
      </w:r>
      <w:proofErr w:type="gramStart"/>
      <w:r w:rsidRPr="00521983">
        <w:rPr>
          <w:rFonts w:ascii="Times New Roman" w:eastAsia="Times New Roman" w:hAnsi="Times New Roman" w:cs="Times New Roman"/>
          <w:color w:val="414141"/>
          <w:sz w:val="28"/>
          <w:szCs w:val="28"/>
        </w:rPr>
        <w:t>Liều cao lansoprazol (60 mg/ngày) làm giảm nồng độ tối đa của clopidogrel trong huyết thanh (giảm 18%) thấp hơn so với liều cao omeprazol.</w:t>
      </w:r>
      <w:proofErr w:type="gramEnd"/>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xml:space="preserve"> - Pantoprazol làm giảm nhẹ tổng liều nồng độ clopidogrel (giảm 14%) tuy nhiên liều dùng </w:t>
      </w:r>
      <w:proofErr w:type="gramStart"/>
      <w:r w:rsidRPr="00521983">
        <w:rPr>
          <w:rFonts w:ascii="Times New Roman" w:eastAsia="Times New Roman" w:hAnsi="Times New Roman" w:cs="Times New Roman"/>
          <w:color w:val="414141"/>
          <w:sz w:val="28"/>
          <w:szCs w:val="28"/>
        </w:rPr>
        <w:t>(80 mg/ngày)</w:t>
      </w:r>
      <w:proofErr w:type="gramEnd"/>
      <w:r w:rsidRPr="00521983">
        <w:rPr>
          <w:rFonts w:ascii="Times New Roman" w:eastAsia="Times New Roman" w:hAnsi="Times New Roman" w:cs="Times New Roman"/>
          <w:color w:val="414141"/>
          <w:sz w:val="28"/>
          <w:szCs w:val="28"/>
        </w:rPr>
        <w:t xml:space="preserve"> vượt quá liều được cấp phép.</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Rabeprazol làm giảm 28% nồng độ tối đa của clopidogrel huyết thanh ở bệnh nhân có chức năng CYP2C19 bình thường, nhưng không ảnh hưởng tổng nồng độ clopidogrel.</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b/>
          <w:bCs/>
          <w:i/>
          <w:iCs/>
          <w:color w:val="000000"/>
          <w:sz w:val="28"/>
          <w:szCs w:val="28"/>
        </w:rPr>
        <w:t xml:space="preserve">Hậu quả trên </w:t>
      </w:r>
      <w:proofErr w:type="gramStart"/>
      <w:r w:rsidRPr="00521983">
        <w:rPr>
          <w:rFonts w:ascii="Times New Roman" w:eastAsia="Times New Roman" w:hAnsi="Times New Roman" w:cs="Times New Roman"/>
          <w:b/>
          <w:bCs/>
          <w:i/>
          <w:iCs/>
          <w:color w:val="000000"/>
          <w:sz w:val="28"/>
          <w:szCs w:val="28"/>
        </w:rPr>
        <w:t>tim</w:t>
      </w:r>
      <w:proofErr w:type="gramEnd"/>
      <w:r w:rsidRPr="00521983">
        <w:rPr>
          <w:rFonts w:ascii="Times New Roman" w:eastAsia="Times New Roman" w:hAnsi="Times New Roman" w:cs="Times New Roman"/>
          <w:b/>
          <w:bCs/>
          <w:i/>
          <w:iCs/>
          <w:color w:val="000000"/>
          <w:sz w:val="28"/>
          <w:szCs w:val="28"/>
        </w:rPr>
        <w:t xml:space="preserve"> mạch: </w:t>
      </w:r>
    </w:p>
    <w:p w:rsidR="004E12FF" w:rsidRPr="00521983" w:rsidRDefault="004E12FF" w:rsidP="008F5FDE">
      <w:pPr>
        <w:spacing w:after="0" w:line="240" w:lineRule="auto"/>
        <w:ind w:firstLine="720"/>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Chưa có bằng chứng rõ ràng việc giảm nồng độ clopidogrel trong huyết thanh liên quan đến tương tác với PPI làm trầm trọng tình trạng </w:t>
      </w:r>
      <w:proofErr w:type="gramStart"/>
      <w:r w:rsidRPr="00521983">
        <w:rPr>
          <w:rFonts w:ascii="Times New Roman" w:eastAsia="Times New Roman" w:hAnsi="Times New Roman" w:cs="Times New Roman"/>
          <w:color w:val="000000"/>
          <w:sz w:val="28"/>
          <w:szCs w:val="28"/>
        </w:rPr>
        <w:t>tim</w:t>
      </w:r>
      <w:proofErr w:type="gramEnd"/>
      <w:r w:rsidRPr="00521983">
        <w:rPr>
          <w:rFonts w:ascii="Times New Roman" w:eastAsia="Times New Roman" w:hAnsi="Times New Roman" w:cs="Times New Roman"/>
          <w:color w:val="000000"/>
          <w:sz w:val="28"/>
          <w:szCs w:val="28"/>
        </w:rPr>
        <w:t xml:space="preserve"> mạch của bệnh nhân. Phần lớn dữ liệu từ nghiên cứu quan sát, nên chưa thể kết luận rõ ràng.</w:t>
      </w:r>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Các nghiên cứu thường đánh giá cả nhóm thuốc PPI, trong đó</w:t>
      </w:r>
      <w:proofErr w:type="gramStart"/>
      <w:r w:rsidRPr="00521983">
        <w:rPr>
          <w:rFonts w:ascii="Times New Roman" w:eastAsia="Times New Roman" w:hAnsi="Times New Roman" w:cs="Times New Roman"/>
          <w:color w:val="000000"/>
          <w:sz w:val="28"/>
          <w:szCs w:val="28"/>
        </w:rPr>
        <w:t>,một</w:t>
      </w:r>
      <w:proofErr w:type="gramEnd"/>
      <w:r w:rsidRPr="00521983">
        <w:rPr>
          <w:rFonts w:ascii="Times New Roman" w:eastAsia="Times New Roman" w:hAnsi="Times New Roman" w:cs="Times New Roman"/>
          <w:color w:val="000000"/>
          <w:sz w:val="28"/>
          <w:szCs w:val="28"/>
        </w:rPr>
        <w:t xml:space="preserve"> số nghiên cứu cho thấy khi sử dụng PPI đồng thời với clopidogrel dẫn đến hậu quả tim mạch nặng nề hơn so với một số nghiên cứu khác lại cho thấy ảnh hưởng tương tự. </w:t>
      </w:r>
      <w:proofErr w:type="gramStart"/>
      <w:r w:rsidRPr="00521983">
        <w:rPr>
          <w:rFonts w:ascii="Times New Roman" w:eastAsia="Times New Roman" w:hAnsi="Times New Roman" w:cs="Times New Roman"/>
          <w:color w:val="000000"/>
          <w:sz w:val="28"/>
          <w:szCs w:val="28"/>
        </w:rPr>
        <w:t>Với các nghiên cứu đánh giá từng thuốc PPI, kết quả không thống nhất.</w:t>
      </w:r>
      <w:proofErr w:type="gramEnd"/>
    </w:p>
    <w:p w:rsidR="004E12FF" w:rsidRPr="00521983" w:rsidRDefault="004E12FF"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Một số bằng chứng cho thấy việc sử dụng PPI là một dấu hiệu độc lập của bệnh </w:t>
      </w:r>
      <w:proofErr w:type="gramStart"/>
      <w:r w:rsidRPr="00521983">
        <w:rPr>
          <w:rFonts w:ascii="Times New Roman" w:eastAsia="Times New Roman" w:hAnsi="Times New Roman" w:cs="Times New Roman"/>
          <w:color w:val="000000"/>
          <w:sz w:val="28"/>
          <w:szCs w:val="28"/>
        </w:rPr>
        <w:t>tim</w:t>
      </w:r>
      <w:proofErr w:type="gramEnd"/>
      <w:r w:rsidRPr="00521983">
        <w:rPr>
          <w:rFonts w:ascii="Times New Roman" w:eastAsia="Times New Roman" w:hAnsi="Times New Roman" w:cs="Times New Roman"/>
          <w:color w:val="000000"/>
          <w:sz w:val="28"/>
          <w:szCs w:val="28"/>
        </w:rPr>
        <w:t xml:space="preserve"> mạch, theo dõi bệnh nhân sử dụng PPI đã có nguy cơ tim mạch ban đầu cao. Điều này dẫn đến khó khăn khi đánh giá mức độ ý nghĩa trên lâm sàng của</w:t>
      </w:r>
      <w:proofErr w:type="gramStart"/>
      <w:r w:rsidRPr="00521983">
        <w:rPr>
          <w:rFonts w:ascii="Times New Roman" w:eastAsia="Times New Roman" w:hAnsi="Times New Roman" w:cs="Times New Roman"/>
          <w:color w:val="000000"/>
          <w:sz w:val="28"/>
          <w:szCs w:val="28"/>
        </w:rPr>
        <w:t>  tương</w:t>
      </w:r>
      <w:proofErr w:type="gramEnd"/>
      <w:r w:rsidRPr="00521983">
        <w:rPr>
          <w:rFonts w:ascii="Times New Roman" w:eastAsia="Times New Roman" w:hAnsi="Times New Roman" w:cs="Times New Roman"/>
          <w:color w:val="000000"/>
          <w:sz w:val="28"/>
          <w:szCs w:val="28"/>
        </w:rPr>
        <w:t xml:space="preserve"> tác thuốc giữa clopidogrel và PPI.</w:t>
      </w:r>
    </w:p>
    <w:p w:rsidR="004E12FF" w:rsidRPr="00521983" w:rsidRDefault="004E12FF" w:rsidP="00521983">
      <w:pPr>
        <w:spacing w:after="0" w:line="240" w:lineRule="auto"/>
        <w:jc w:val="both"/>
        <w:rPr>
          <w:rFonts w:ascii="Times New Roman" w:eastAsia="Times New Roman" w:hAnsi="Times New Roman" w:cs="Times New Roman"/>
          <w:i/>
          <w:color w:val="414141"/>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i/>
          <w:color w:val="000000"/>
        </w:rPr>
        <w:t xml:space="preserve">Nguồn: </w:t>
      </w:r>
      <w:hyperlink r:id="rId5" w:history="1">
        <w:r w:rsidRPr="00521983">
          <w:rPr>
            <w:rFonts w:ascii="Times New Roman" w:eastAsia="Times New Roman" w:hAnsi="Times New Roman" w:cs="Times New Roman"/>
            <w:i/>
            <w:color w:val="0000FF"/>
            <w:bdr w:val="none" w:sz="0" w:space="0" w:color="auto" w:frame="1"/>
          </w:rPr>
          <w:t>Using clopidogrel with proton pump inhibitors (PPIs) – SPS - Specialist Pharmacy Service – The first stop for professional medicines advice</w:t>
        </w:r>
      </w:hyperlink>
    </w:p>
    <w:p w:rsidR="00A033E8" w:rsidRPr="00521983" w:rsidRDefault="000C63FE" w:rsidP="00521983">
      <w:pPr>
        <w:spacing w:after="0" w:line="240" w:lineRule="auto"/>
        <w:rPr>
          <w:rFonts w:ascii="Times New Roman" w:eastAsia="Times New Roman" w:hAnsi="Times New Roman" w:cs="Times New Roman"/>
          <w:b/>
          <w:bCs/>
          <w:color w:val="006666"/>
          <w:sz w:val="28"/>
          <w:szCs w:val="28"/>
          <w:lang w:val="vi-VN"/>
        </w:rPr>
      </w:pPr>
      <w:r w:rsidRPr="00521983">
        <w:rPr>
          <w:rFonts w:ascii="Times New Roman" w:eastAsia="Times New Roman" w:hAnsi="Times New Roman" w:cs="Times New Roman"/>
          <w:b/>
          <w:bCs/>
          <w:color w:val="FF0000"/>
          <w:sz w:val="28"/>
          <w:szCs w:val="28"/>
          <w:highlight w:val="yellow"/>
          <w:lang w:val="vi-VN"/>
        </w:rPr>
        <w:lastRenderedPageBreak/>
        <w:t>II .</w:t>
      </w:r>
      <w:r w:rsidR="00A033E8" w:rsidRPr="00521983">
        <w:rPr>
          <w:rFonts w:ascii="Times New Roman" w:eastAsia="Times New Roman" w:hAnsi="Times New Roman" w:cs="Times New Roman"/>
          <w:b/>
          <w:bCs/>
          <w:color w:val="FF0000"/>
          <w:sz w:val="28"/>
          <w:szCs w:val="28"/>
          <w:highlight w:val="yellow"/>
        </w:rPr>
        <w:t>JAMA: Nguy cơ mắc bệnh viêm da cơ địa khi sử dụng thuốc điều trị tăng huyết áp ở người cao tuổi</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000000"/>
          <w:sz w:val="28"/>
          <w:szCs w:val="28"/>
        </w:rPr>
        <w:t>Bối cảnh</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proofErr w:type="gramStart"/>
      <w:r w:rsidRPr="00521983">
        <w:rPr>
          <w:rFonts w:ascii="Times New Roman" w:eastAsia="Times New Roman" w:hAnsi="Times New Roman" w:cs="Times New Roman"/>
          <w:color w:val="000000"/>
          <w:sz w:val="28"/>
          <w:szCs w:val="28"/>
        </w:rPr>
        <w:t>Tỷ lệ bệnh nhân mắc viêm da cơ địa ngày càng gia tăng, đặc biệt trên bệnh nhân cao tuổi.</w:t>
      </w:r>
      <w:proofErr w:type="gramEnd"/>
      <w:r w:rsidRPr="00521983">
        <w:rPr>
          <w:rFonts w:ascii="Times New Roman" w:eastAsia="Times New Roman" w:hAnsi="Times New Roman" w:cs="Times New Roman"/>
          <w:color w:val="000000"/>
          <w:sz w:val="28"/>
          <w:szCs w:val="28"/>
        </w:rPr>
        <w:t xml:space="preserve"> </w:t>
      </w:r>
      <w:proofErr w:type="gramStart"/>
      <w:r w:rsidRPr="00521983">
        <w:rPr>
          <w:rFonts w:ascii="Times New Roman" w:eastAsia="Times New Roman" w:hAnsi="Times New Roman" w:cs="Times New Roman"/>
          <w:color w:val="000000"/>
          <w:sz w:val="28"/>
          <w:szCs w:val="28"/>
        </w:rPr>
        <w:t>Cho đến hiện nay, có rất ít thông tin về cơ chế bệnh sinh và phương pháp điều trị tối ưu trên nhóm bệnh nhân này.</w:t>
      </w:r>
      <w:proofErr w:type="gramEnd"/>
      <w:r w:rsidRPr="00521983">
        <w:rPr>
          <w:rFonts w:ascii="Times New Roman" w:eastAsia="Times New Roman" w:hAnsi="Times New Roman" w:cs="Times New Roman"/>
          <w:color w:val="000000"/>
          <w:sz w:val="28"/>
          <w:szCs w:val="28"/>
        </w:rPr>
        <w:t xml:space="preserve"> </w:t>
      </w:r>
      <w:proofErr w:type="gramStart"/>
      <w:r w:rsidRPr="00521983">
        <w:rPr>
          <w:rFonts w:ascii="Times New Roman" w:eastAsia="Times New Roman" w:hAnsi="Times New Roman" w:cs="Times New Roman"/>
          <w:color w:val="000000"/>
          <w:sz w:val="28"/>
          <w:szCs w:val="28"/>
        </w:rPr>
        <w:t>Những dữ liệu ban đầu cho thấy rằng các thuốc điều trị tăng huyết áp có thể góp phần gây viêm da cơ địa; tuy nhiên</w:t>
      </w:r>
      <w:r w:rsidRPr="00521983">
        <w:rPr>
          <w:rFonts w:ascii="Times New Roman" w:eastAsia="Times New Roman" w:hAnsi="Times New Roman" w:cs="Times New Roman"/>
          <w:color w:val="434343"/>
          <w:sz w:val="28"/>
          <w:szCs w:val="28"/>
        </w:rPr>
        <w:t xml:space="preserve"> có rất ít dữ liệu về thuốc điều trị tăng huyết áp và nguy cơ mắc bệnh viêm da cơ địa trên bệnh nhân cao tuổi.</w:t>
      </w:r>
      <w:proofErr w:type="gramEnd"/>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000000"/>
          <w:sz w:val="28"/>
          <w:szCs w:val="28"/>
        </w:rPr>
        <w:t xml:space="preserve">Mục tiêu </w:t>
      </w:r>
      <w:r w:rsidRPr="00521983">
        <w:rPr>
          <w:rFonts w:ascii="Times New Roman" w:eastAsia="Times New Roman" w:hAnsi="Times New Roman" w:cs="Times New Roman"/>
          <w:color w:val="000000"/>
          <w:sz w:val="28"/>
          <w:szCs w:val="28"/>
        </w:rPr>
        <w:t>  </w:t>
      </w:r>
    </w:p>
    <w:p w:rsidR="00A033E8" w:rsidRPr="00521983" w:rsidRDefault="00A033E8" w:rsidP="008F5FDE">
      <w:pPr>
        <w:spacing w:after="0" w:line="240" w:lineRule="auto"/>
        <w:ind w:firstLine="720"/>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Xác định mối liên quan của sử dụng thuốc điều trị tăng huyết áp với bệnh viêm da cơ địa ở người cao tuổi.</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000000"/>
          <w:sz w:val="28"/>
          <w:szCs w:val="28"/>
        </w:rPr>
        <w:t>Phương pháp nghiên cứu</w:t>
      </w:r>
    </w:p>
    <w:p w:rsidR="00A033E8" w:rsidRPr="00521983" w:rsidRDefault="00A033E8" w:rsidP="008F5FDE">
      <w:pPr>
        <w:spacing w:after="0" w:line="240" w:lineRule="auto"/>
        <w:ind w:firstLine="720"/>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Nghiên cứu </w:t>
      </w:r>
      <w:proofErr w:type="gramStart"/>
      <w:r w:rsidRPr="00521983">
        <w:rPr>
          <w:rFonts w:ascii="Times New Roman" w:eastAsia="Times New Roman" w:hAnsi="Times New Roman" w:cs="Times New Roman"/>
          <w:color w:val="000000"/>
          <w:sz w:val="28"/>
          <w:szCs w:val="28"/>
        </w:rPr>
        <w:t>theo</w:t>
      </w:r>
      <w:proofErr w:type="gramEnd"/>
      <w:r w:rsidRPr="00521983">
        <w:rPr>
          <w:rFonts w:ascii="Times New Roman" w:eastAsia="Times New Roman" w:hAnsi="Times New Roman" w:cs="Times New Roman"/>
          <w:color w:val="000000"/>
          <w:sz w:val="28"/>
          <w:szCs w:val="28"/>
        </w:rPr>
        <w:t xml:space="preserve"> dõi dọc trên bệnh nhân từ 60 tuổi trở lên không có chẩn đoán mắc bệnh viêm da cơ địa ở thời điểm đưa vào nghiên cứu. </w:t>
      </w:r>
      <w:proofErr w:type="gramStart"/>
      <w:r w:rsidRPr="00521983">
        <w:rPr>
          <w:rFonts w:ascii="Times New Roman" w:eastAsia="Times New Roman" w:hAnsi="Times New Roman" w:cs="Times New Roman"/>
          <w:color w:val="000000"/>
          <w:sz w:val="28"/>
          <w:szCs w:val="28"/>
        </w:rPr>
        <w:t xml:space="preserve">Nghiên cứu được tiến hành tại các cơ sở chăm sóc sức khỏe ban đầu thuộc </w:t>
      </w:r>
      <w:r w:rsidRPr="00521983">
        <w:rPr>
          <w:rFonts w:ascii="Times New Roman" w:eastAsia="Times New Roman" w:hAnsi="Times New Roman" w:cs="Times New Roman"/>
          <w:color w:val="333333"/>
          <w:sz w:val="28"/>
          <w:szCs w:val="28"/>
        </w:rPr>
        <w:t>mạng lưới Health Improvement Network</w:t>
      </w:r>
      <w:r w:rsidRPr="00521983">
        <w:rPr>
          <w:rFonts w:ascii="Times New Roman" w:eastAsia="Times New Roman" w:hAnsi="Times New Roman" w:cs="Times New Roman"/>
          <w:color w:val="000000"/>
          <w:sz w:val="28"/>
          <w:szCs w:val="28"/>
        </w:rPr>
        <w:t xml:space="preserve"> tại Vương quốc Anh từ 01/01/1994 đến ngày 01/01/2015.</w:t>
      </w:r>
      <w:proofErr w:type="gramEnd"/>
      <w:r w:rsidRPr="00521983">
        <w:rPr>
          <w:rFonts w:ascii="Times New Roman" w:eastAsia="Times New Roman" w:hAnsi="Times New Roman" w:cs="Times New Roman"/>
          <w:color w:val="000000"/>
          <w:sz w:val="28"/>
          <w:szCs w:val="28"/>
        </w:rPr>
        <w:t xml:space="preserve"> </w:t>
      </w:r>
      <w:proofErr w:type="gramStart"/>
      <w:r w:rsidRPr="00521983">
        <w:rPr>
          <w:rFonts w:ascii="Times New Roman" w:eastAsia="Times New Roman" w:hAnsi="Times New Roman" w:cs="Times New Roman"/>
          <w:color w:val="000000"/>
          <w:sz w:val="28"/>
          <w:szCs w:val="28"/>
        </w:rPr>
        <w:t>Phân tích dữ liệu được thực hiện từ ngày 06/01/2020 đến ngày 06/02/2024.</w:t>
      </w:r>
      <w:proofErr w:type="gramEnd"/>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000000"/>
          <w:sz w:val="28"/>
          <w:szCs w:val="28"/>
        </w:rPr>
        <w:t>Phương pháp xác định chỉ tiêu đánh giá chính</w:t>
      </w:r>
    </w:p>
    <w:p w:rsidR="00A033E8" w:rsidRPr="00521983" w:rsidRDefault="00A033E8" w:rsidP="008F5FDE">
      <w:pPr>
        <w:spacing w:after="0" w:line="240" w:lineRule="auto"/>
        <w:ind w:firstLine="720"/>
        <w:jc w:val="both"/>
        <w:rPr>
          <w:rFonts w:ascii="Times New Roman" w:eastAsia="Times New Roman" w:hAnsi="Times New Roman" w:cs="Times New Roman"/>
          <w:color w:val="414141"/>
          <w:sz w:val="28"/>
          <w:szCs w:val="28"/>
        </w:rPr>
      </w:pPr>
      <w:proofErr w:type="gramStart"/>
      <w:r w:rsidRPr="00521983">
        <w:rPr>
          <w:rFonts w:ascii="Times New Roman" w:eastAsia="Times New Roman" w:hAnsi="Times New Roman" w:cs="Times New Roman"/>
          <w:color w:val="000000"/>
          <w:sz w:val="28"/>
          <w:szCs w:val="28"/>
        </w:rPr>
        <w:t>Viêm da cơ địa được ghi nhận dựa vào ngày đầu tiên xuất hiện một trong năm loại viêm da cơ địa phổ biến nhất.</w:t>
      </w:r>
      <w:proofErr w:type="gramEnd"/>
    </w:p>
    <w:p w:rsidR="00A033E8" w:rsidRPr="00521983" w:rsidRDefault="008F5FDE" w:rsidP="008F5FDE">
      <w:pPr>
        <w:spacing w:after="0" w:line="240" w:lineRule="auto"/>
        <w:jc w:val="both"/>
        <w:rPr>
          <w:rFonts w:ascii="Times New Roman" w:eastAsia="Times New Roman" w:hAnsi="Times New Roman" w:cs="Times New Roman"/>
          <w:color w:val="414141"/>
          <w:sz w:val="28"/>
          <w:szCs w:val="28"/>
        </w:rPr>
      </w:pPr>
      <w:r>
        <w:rPr>
          <w:rFonts w:ascii="Times New Roman" w:eastAsia="Times New Roman" w:hAnsi="Times New Roman" w:cs="Times New Roman"/>
          <w:b/>
          <w:bCs/>
          <w:color w:val="000000"/>
          <w:sz w:val="28"/>
          <w:szCs w:val="28"/>
        </w:rPr>
        <w:t xml:space="preserve">Kết </w:t>
      </w:r>
      <w:proofErr w:type="gramStart"/>
      <w:r>
        <w:rPr>
          <w:rFonts w:ascii="Times New Roman" w:eastAsia="Times New Roman" w:hAnsi="Times New Roman" w:cs="Times New Roman"/>
          <w:b/>
          <w:bCs/>
          <w:color w:val="000000"/>
          <w:sz w:val="28"/>
          <w:szCs w:val="28"/>
        </w:rPr>
        <w:t>quả</w:t>
      </w:r>
      <w:r>
        <w:rPr>
          <w:rFonts w:ascii="Times New Roman" w:eastAsia="Times New Roman" w:hAnsi="Times New Roman" w:cs="Times New Roman"/>
          <w:b/>
          <w:bCs/>
          <w:color w:val="000000"/>
          <w:sz w:val="28"/>
          <w:szCs w:val="28"/>
          <w:lang w:val="vi-VN"/>
        </w:rPr>
        <w:t xml:space="preserve"> </w:t>
      </w:r>
      <w:r>
        <w:rPr>
          <w:rFonts w:ascii="Times New Roman" w:eastAsia="Times New Roman" w:hAnsi="Times New Roman" w:cs="Times New Roman"/>
          <w:color w:val="000000"/>
          <w:sz w:val="28"/>
          <w:szCs w:val="28"/>
          <w:lang w:val="vi-VN"/>
        </w:rPr>
        <w:t>:</w:t>
      </w:r>
      <w:proofErr w:type="gramEnd"/>
      <w:r>
        <w:rPr>
          <w:rFonts w:ascii="Times New Roman" w:eastAsia="Times New Roman" w:hAnsi="Times New Roman" w:cs="Times New Roman"/>
          <w:color w:val="000000"/>
          <w:sz w:val="28"/>
          <w:szCs w:val="28"/>
          <w:lang w:val="vi-VN"/>
        </w:rPr>
        <w:t xml:space="preserve"> </w:t>
      </w:r>
      <w:r w:rsidR="00A033E8" w:rsidRPr="00521983">
        <w:rPr>
          <w:rFonts w:ascii="Times New Roman" w:eastAsia="Times New Roman" w:hAnsi="Times New Roman" w:cs="Times New Roman"/>
          <w:color w:val="000000"/>
          <w:sz w:val="28"/>
          <w:szCs w:val="28"/>
        </w:rPr>
        <w:t xml:space="preserve">Trong tổng số mẫu nghiên cứu gồm 1.561.358 bệnh nhân cao tuổi (độ tuổi trung bình là 67 tuổi; tỷ lệ nữ giới chiếm 54%), tỷ lệ mắc bệnh viêm da cơ địa là 6,7% trong cả giai đoạn nghiên cứu. </w:t>
      </w:r>
      <w:proofErr w:type="gramStart"/>
      <w:r w:rsidR="00A033E8" w:rsidRPr="00521983">
        <w:rPr>
          <w:rFonts w:ascii="Times New Roman" w:eastAsia="Times New Roman" w:hAnsi="Times New Roman" w:cs="Times New Roman"/>
          <w:color w:val="000000"/>
          <w:sz w:val="28"/>
          <w:szCs w:val="28"/>
        </w:rPr>
        <w:t>Tỷ lệ mắc viêm da cơ địa ở những bệnh nhân sử dụng thuốc điều trị tăng huyết áp cao hơn so với những bệnh nhân không sử dụng, lần lượt là 12 so với 9 trong tổng số 1.000 người-năm.</w:t>
      </w:r>
      <w:proofErr w:type="gramEnd"/>
      <w:r w:rsidR="00A033E8" w:rsidRPr="00521983">
        <w:rPr>
          <w:rFonts w:ascii="Times New Roman" w:eastAsia="Times New Roman" w:hAnsi="Times New Roman" w:cs="Times New Roman"/>
          <w:color w:val="000000"/>
          <w:sz w:val="28"/>
          <w:szCs w:val="28"/>
        </w:rPr>
        <w:t xml:space="preserve"> Mô hình Cox hiệu chỉnh cho thấy các bệnh nhân sử dụng bất kỳ loại thuốc điều trị tăng huyết áp nào đều có nguy cơ mắc bệnh viêm da cơ địa tăng 29% (tỷ suất nguy cơ [HR]: 1</w:t>
      </w:r>
      <w:proofErr w:type="gramStart"/>
      <w:r w:rsidR="00A033E8" w:rsidRPr="00521983">
        <w:rPr>
          <w:rFonts w:ascii="Times New Roman" w:eastAsia="Times New Roman" w:hAnsi="Times New Roman" w:cs="Times New Roman"/>
          <w:color w:val="000000"/>
          <w:sz w:val="28"/>
          <w:szCs w:val="28"/>
        </w:rPr>
        <w:t>,29</w:t>
      </w:r>
      <w:proofErr w:type="gramEnd"/>
      <w:r w:rsidR="00A033E8" w:rsidRPr="00521983">
        <w:rPr>
          <w:rFonts w:ascii="Times New Roman" w:eastAsia="Times New Roman" w:hAnsi="Times New Roman" w:cs="Times New Roman"/>
          <w:color w:val="000000"/>
          <w:sz w:val="28"/>
          <w:szCs w:val="28"/>
        </w:rPr>
        <w:t>; 95% CI: 1,26-1,31). Khi đánh giá từng nhóm thuốc điều trị tăng huyết áp riêng lẻ, tỷ suất nguy cơ cao nhất với nhóm lợi tiểu (HR: 1,21; 95% CI: 1,19-1,24) và nhóm chẹn kênh canxi (HR: 1,16; 95% CI: 1,14-1,18), và nguy cơ thấp nhất là đối với nhóm ức chế enzym chuyển angiotensin (HR: 1,02; 95% CI: 1,00-1,04) và nhóm chẹn beta (HR: 1,04; 95% CI: 1,02-1,06).</w:t>
      </w:r>
    </w:p>
    <w:p w:rsidR="00A033E8" w:rsidRPr="00521983" w:rsidRDefault="00A033E8" w:rsidP="008F5FDE">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000000"/>
          <w:sz w:val="28"/>
          <w:szCs w:val="28"/>
        </w:rPr>
        <w:t xml:space="preserve">Kết luận </w:t>
      </w:r>
      <w:r w:rsidR="008F5FDE">
        <w:rPr>
          <w:rFonts w:ascii="Times New Roman" w:eastAsia="Times New Roman" w:hAnsi="Times New Roman" w:cs="Times New Roman"/>
          <w:color w:val="414141"/>
          <w:sz w:val="28"/>
          <w:szCs w:val="28"/>
          <w:lang w:val="vi-VN"/>
        </w:rPr>
        <w:t xml:space="preserve">: </w:t>
      </w:r>
      <w:r w:rsidRPr="00521983">
        <w:rPr>
          <w:rFonts w:ascii="Times New Roman" w:eastAsia="Times New Roman" w:hAnsi="Times New Roman" w:cs="Times New Roman"/>
          <w:color w:val="000000"/>
          <w:sz w:val="28"/>
          <w:szCs w:val="28"/>
        </w:rPr>
        <w:t xml:space="preserve">Sử dụng thuốc điều trị tăng huyết áp có liên quan đến tăng nhẹ nguy cơ viêm da cơ địa, trong đó nguy cơ cao nhất với nhóm chẹn kênh canxi và nhóm lợi tiểu, nguy cơ thấp nhất với nhóm ức chế enzym chuyển angiotensin và nhóm chẹn beta. </w:t>
      </w:r>
      <w:proofErr w:type="gramStart"/>
      <w:r w:rsidRPr="00521983">
        <w:rPr>
          <w:rFonts w:ascii="Times New Roman" w:eastAsia="Times New Roman" w:hAnsi="Times New Roman" w:cs="Times New Roman"/>
          <w:color w:val="000000"/>
          <w:sz w:val="28"/>
          <w:szCs w:val="28"/>
        </w:rPr>
        <w:t>Hiện nay, vẫn cần thêm các nghiên cứu khác để làm rõ các cơ chế tiềm ẩn của mối liên quan này.</w:t>
      </w:r>
      <w:proofErr w:type="gramEnd"/>
      <w:r w:rsidRPr="00521983">
        <w:rPr>
          <w:rFonts w:ascii="Times New Roman" w:eastAsia="Times New Roman" w:hAnsi="Times New Roman" w:cs="Times New Roman"/>
          <w:color w:val="000000"/>
          <w:sz w:val="28"/>
          <w:szCs w:val="28"/>
        </w:rPr>
        <w:t xml:space="preserve"> Tuy nhiên, những thông tin từ nghiên cứu này cũng rất hữu ích để các nhà lâm sàng có phương pháp quản lý bệnh nhân cao tuổi mắc viêm da cơ địa.</w:t>
      </w:r>
    </w:p>
    <w:p w:rsidR="00A033E8" w:rsidRPr="00521983" w:rsidRDefault="00A033E8" w:rsidP="00521983">
      <w:pPr>
        <w:spacing w:after="0" w:line="240" w:lineRule="auto"/>
        <w:jc w:val="right"/>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p>
    <w:p w:rsidR="00A033E8" w:rsidRPr="00521983" w:rsidRDefault="00A033E8" w:rsidP="00521983">
      <w:pPr>
        <w:spacing w:after="0" w:line="240" w:lineRule="auto"/>
        <w:jc w:val="right"/>
        <w:rPr>
          <w:rFonts w:ascii="Times New Roman" w:eastAsia="Times New Roman" w:hAnsi="Times New Roman" w:cs="Times New Roman"/>
          <w:i/>
          <w:color w:val="414141"/>
        </w:rPr>
      </w:pPr>
      <w:r w:rsidRPr="00521983">
        <w:rPr>
          <w:rFonts w:ascii="Times New Roman" w:eastAsia="Times New Roman" w:hAnsi="Times New Roman" w:cs="Times New Roman"/>
          <w:i/>
          <w:color w:val="000000"/>
        </w:rPr>
        <w:lastRenderedPageBreak/>
        <w:t xml:space="preserve">Nguồn: </w:t>
      </w:r>
      <w:hyperlink r:id="rId6" w:history="1">
        <w:r w:rsidRPr="00521983">
          <w:rPr>
            <w:rFonts w:ascii="Times New Roman" w:eastAsia="Times New Roman" w:hAnsi="Times New Roman" w:cs="Times New Roman"/>
            <w:i/>
            <w:color w:val="0000FF"/>
            <w:bdr w:val="none" w:sz="0" w:space="0" w:color="auto" w:frame="1"/>
          </w:rPr>
          <w:t>Antihypertensive Medications and Eczematous Dermatitis in Older Adults | Hypertension | JAMA Dermatology | JAMA Network</w:t>
        </w:r>
      </w:hyperlink>
    </w:p>
    <w:p w:rsidR="00A033E8" w:rsidRPr="00521983" w:rsidRDefault="000C63FE" w:rsidP="00521983">
      <w:pPr>
        <w:spacing w:after="0" w:line="240" w:lineRule="auto"/>
        <w:rPr>
          <w:rFonts w:ascii="Times New Roman" w:eastAsia="Times New Roman" w:hAnsi="Times New Roman" w:cs="Times New Roman"/>
          <w:b/>
          <w:bCs/>
          <w:color w:val="FF0000"/>
          <w:sz w:val="28"/>
          <w:szCs w:val="28"/>
          <w:lang w:val="vi-VN"/>
        </w:rPr>
      </w:pPr>
      <w:r w:rsidRPr="00521983">
        <w:rPr>
          <w:rFonts w:ascii="Times New Roman" w:eastAsia="Times New Roman" w:hAnsi="Times New Roman" w:cs="Times New Roman"/>
          <w:b/>
          <w:bCs/>
          <w:color w:val="FF0000"/>
          <w:sz w:val="28"/>
          <w:szCs w:val="28"/>
          <w:highlight w:val="yellow"/>
          <w:lang w:val="vi-VN"/>
        </w:rPr>
        <w:t>III .</w:t>
      </w:r>
      <w:r w:rsidR="00A033E8" w:rsidRPr="00521983">
        <w:rPr>
          <w:rFonts w:ascii="Times New Roman" w:eastAsia="Times New Roman" w:hAnsi="Times New Roman" w:cs="Times New Roman"/>
          <w:b/>
          <w:bCs/>
          <w:color w:val="FF0000"/>
          <w:sz w:val="28"/>
          <w:szCs w:val="28"/>
          <w:highlight w:val="yellow"/>
        </w:rPr>
        <w:t>Bộ Y tế Canada: Cảnh báo nguy cơ tiềm ẩn hội chứng Pseudo-Bartter khi sử dụng colistin</w:t>
      </w:r>
    </w:p>
    <w:p w:rsidR="00A033E8" w:rsidRPr="00521983" w:rsidRDefault="00A033E8" w:rsidP="008F5FDE">
      <w:pPr>
        <w:spacing w:after="0" w:line="240" w:lineRule="auto"/>
        <w:rPr>
          <w:rFonts w:ascii="Times New Roman" w:eastAsia="Times New Roman" w:hAnsi="Times New Roman" w:cs="Times New Roman"/>
          <w:color w:val="414141"/>
          <w:sz w:val="28"/>
          <w:szCs w:val="28"/>
        </w:rPr>
      </w:pPr>
      <w:proofErr w:type="gramStart"/>
      <w:r w:rsidRPr="00521983">
        <w:rPr>
          <w:rFonts w:ascii="Times New Roman" w:eastAsia="Times New Roman" w:hAnsi="Times New Roman" w:cs="Times New Roman"/>
          <w:b/>
          <w:bCs/>
          <w:color w:val="414141"/>
          <w:sz w:val="28"/>
          <w:szCs w:val="28"/>
        </w:rPr>
        <w:t>Bộ Y tế Canada phát hiện có mối liên quan giữa colistin (natri colistimethat) và nguy cơ tiềm ẩn mắc hội chứng Pseudo-Bartter.</w:t>
      </w:r>
      <w:proofErr w:type="gramEnd"/>
      <w:r w:rsidRPr="00521983">
        <w:rPr>
          <w:rFonts w:ascii="Times New Roman" w:eastAsia="Times New Roman" w:hAnsi="Times New Roman" w:cs="Times New Roman"/>
          <w:b/>
          <w:bCs/>
          <w:color w:val="414141"/>
          <w:sz w:val="28"/>
          <w:szCs w:val="28"/>
        </w:rPr>
        <w:t xml:space="preserve"> </w:t>
      </w:r>
      <w:proofErr w:type="gramStart"/>
      <w:r w:rsidRPr="00521983">
        <w:rPr>
          <w:rFonts w:ascii="Times New Roman" w:eastAsia="Times New Roman" w:hAnsi="Times New Roman" w:cs="Times New Roman"/>
          <w:b/>
          <w:bCs/>
          <w:color w:val="414141"/>
          <w:sz w:val="28"/>
          <w:szCs w:val="28"/>
        </w:rPr>
        <w:t>Bộ Y tế Canada hiện đang làm việc với các công ty nhằm cập nhật cảnh báo về hội chứng Pseudo-Bartter vào thông tin sản phẩm của các thuốc chứa colistin.</w:t>
      </w:r>
      <w:proofErr w:type="gramEnd"/>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b/>
          <w:bCs/>
          <w:i/>
          <w:iCs/>
          <w:color w:val="000000"/>
          <w:sz w:val="28"/>
          <w:szCs w:val="28"/>
        </w:rPr>
        <w:t xml:space="preserve">Kết quả đánh giá </w:t>
      </w:r>
      <w:proofErr w:type="gramStart"/>
      <w:r w:rsidRPr="00521983">
        <w:rPr>
          <w:rFonts w:ascii="Times New Roman" w:eastAsia="Times New Roman" w:hAnsi="Times New Roman" w:cs="Times New Roman"/>
          <w:b/>
          <w:bCs/>
          <w:i/>
          <w:iCs/>
          <w:color w:val="000000"/>
          <w:sz w:val="28"/>
          <w:szCs w:val="28"/>
        </w:rPr>
        <w:t>an</w:t>
      </w:r>
      <w:proofErr w:type="gramEnd"/>
      <w:r w:rsidRPr="00521983">
        <w:rPr>
          <w:rFonts w:ascii="Times New Roman" w:eastAsia="Times New Roman" w:hAnsi="Times New Roman" w:cs="Times New Roman"/>
          <w:b/>
          <w:bCs/>
          <w:i/>
          <w:iCs/>
          <w:color w:val="000000"/>
          <w:sz w:val="28"/>
          <w:szCs w:val="28"/>
        </w:rPr>
        <w:t xml:space="preserve"> toàn của Bộ Y tế Canada: </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 Bộ Y tế Canada đã tiến hành đánh giá các thông tin ghi nhận được từ hệ thống cơ sở dữ liệu Cảnh giác dược Canada, các hệ thống cơ sở dữ liệu trên thế giới và tra cứu tài liệu y văn. </w:t>
      </w:r>
      <w:proofErr w:type="gramStart"/>
      <w:r w:rsidRPr="00521983">
        <w:rPr>
          <w:rFonts w:ascii="Times New Roman" w:eastAsia="Times New Roman" w:hAnsi="Times New Roman" w:cs="Times New Roman"/>
          <w:color w:val="000000"/>
          <w:sz w:val="28"/>
          <w:szCs w:val="28"/>
        </w:rPr>
        <w:t>Tại thời điểm đánh giá, Bộ Y tế Canada chưa nhận được bất kỳ báo cáo nào có liên quan đến hội chứng Pseudo-Bartter khi sử dụng colistin (natri colistimethat).</w:t>
      </w:r>
      <w:proofErr w:type="gramEnd"/>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 Bộ Y tế Canada đã xem xét 7 ca được ghi nhận trong y văn về hội chứng Pseudo-Bartter ở các bệnh nhân sử dụng colistin. Trong số 7 ca trên, 6 ca được đánh giá về mối quan hệ nhân quả giữa phản ứng và thuốc ở mức </w:t>
      </w:r>
      <w:r w:rsidRPr="00521983">
        <w:rPr>
          <w:rFonts w:ascii="Times New Roman" w:eastAsia="Times New Roman" w:hAnsi="Times New Roman" w:cs="Times New Roman"/>
          <w:i/>
          <w:iCs/>
          <w:color w:val="000000"/>
          <w:sz w:val="28"/>
          <w:szCs w:val="28"/>
        </w:rPr>
        <w:t>Có khả năng</w:t>
      </w:r>
      <w:r w:rsidRPr="00521983">
        <w:rPr>
          <w:rFonts w:ascii="Times New Roman" w:eastAsia="Times New Roman" w:hAnsi="Times New Roman" w:cs="Times New Roman"/>
          <w:color w:val="000000"/>
          <w:sz w:val="28"/>
          <w:szCs w:val="28"/>
        </w:rPr>
        <w:t xml:space="preserve">, và 1 ca được đánh giá ở mức độ </w:t>
      </w:r>
      <w:r w:rsidRPr="00521983">
        <w:rPr>
          <w:rFonts w:ascii="Times New Roman" w:eastAsia="Times New Roman" w:hAnsi="Times New Roman" w:cs="Times New Roman"/>
          <w:i/>
          <w:iCs/>
          <w:color w:val="000000"/>
          <w:sz w:val="28"/>
          <w:szCs w:val="28"/>
        </w:rPr>
        <w:t>Có thể</w:t>
      </w:r>
      <w:r w:rsidRPr="00521983">
        <w:rPr>
          <w:rFonts w:ascii="Times New Roman" w:eastAsia="Times New Roman" w:hAnsi="Times New Roman" w:cs="Times New Roman"/>
          <w:color w:val="000000"/>
          <w:sz w:val="28"/>
          <w:szCs w:val="28"/>
        </w:rPr>
        <w:t>.</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 Phản ứng hạ kali máu, nhiễm kiềm chuyển hóa và mất kali qua nước tiểu được ghi nhận trên tất cả các trường hợp, một số ca cho thấy có thêm phản ứng hạ magie máu và hạ canxi máu. </w:t>
      </w:r>
      <w:proofErr w:type="gramStart"/>
      <w:r w:rsidRPr="00521983">
        <w:rPr>
          <w:rFonts w:ascii="Times New Roman" w:eastAsia="Times New Roman" w:hAnsi="Times New Roman" w:cs="Times New Roman"/>
          <w:color w:val="000000"/>
          <w:sz w:val="28"/>
          <w:szCs w:val="28"/>
        </w:rPr>
        <w:t>Trong tất cả 7 trường hợp, các rối loạn điện giải đã được xử lý hoặc cải thiện đáng kể sau khi ngưng sử dụng colistin.</w:t>
      </w:r>
      <w:proofErr w:type="gramEnd"/>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 Sau khi xem xét thông tin </w:t>
      </w:r>
      <w:proofErr w:type="gramStart"/>
      <w:r w:rsidRPr="00521983">
        <w:rPr>
          <w:rFonts w:ascii="Times New Roman" w:eastAsia="Times New Roman" w:hAnsi="Times New Roman" w:cs="Times New Roman"/>
          <w:color w:val="000000"/>
          <w:sz w:val="28"/>
          <w:szCs w:val="28"/>
        </w:rPr>
        <w:t>an</w:t>
      </w:r>
      <w:proofErr w:type="gramEnd"/>
      <w:r w:rsidRPr="00521983">
        <w:rPr>
          <w:rFonts w:ascii="Times New Roman" w:eastAsia="Times New Roman" w:hAnsi="Times New Roman" w:cs="Times New Roman"/>
          <w:color w:val="000000"/>
          <w:sz w:val="28"/>
          <w:szCs w:val="28"/>
        </w:rPr>
        <w:t xml:space="preserve"> toàn ở các khu vực khác bao gồm châu Âu, Bộ Y tế Canada khẳng định các động thái được Bộ Y tế Canada đưa ra là nhất quán với các quyết định tại châu Âu.</w:t>
      </w:r>
    </w:p>
    <w:p w:rsidR="00A033E8" w:rsidRPr="00521983" w:rsidRDefault="00A033E8" w:rsidP="0052198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i/>
          <w:iCs/>
          <w:color w:val="000000"/>
          <w:sz w:val="28"/>
          <w:szCs w:val="28"/>
        </w:rPr>
        <w:t>Kết luận và khuyến cáo của Bộ Y tế Canada: </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Bộ Y tế Canada xác định có mối liên quan giữa việc sử dụng colistin và nguy cơ mắc hội chứng Pseudo-Bartter.</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Bộ Y tế Canada đang làm việc với các đơn vị sản xuất cập nhật cảnh báo về hội chứng Pseudo-Bartter trong sản phẩm các thuốc chứa colistin.</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Bộ Y tế Canada khuyến khích bệnh nhân và các nhân viên y tế báo cáo về các tác dụng không mong muốn có liên quan đến việc sử dụng colistin cũng như các chế phẩm y tế khác đến Hệ thống Cảnh giác dược Canada.</w:t>
      </w:r>
    </w:p>
    <w:p w:rsidR="00A033E8" w:rsidRPr="00521983" w:rsidRDefault="00A033E8"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000000"/>
          <w:sz w:val="28"/>
          <w:szCs w:val="28"/>
        </w:rPr>
        <w:t xml:space="preserve">- Bộ Y tế Canada sẽ tiếp tục </w:t>
      </w:r>
      <w:proofErr w:type="gramStart"/>
      <w:r w:rsidRPr="00521983">
        <w:rPr>
          <w:rFonts w:ascii="Times New Roman" w:eastAsia="Times New Roman" w:hAnsi="Times New Roman" w:cs="Times New Roman"/>
          <w:color w:val="000000"/>
          <w:sz w:val="28"/>
          <w:szCs w:val="28"/>
        </w:rPr>
        <w:t>theo</w:t>
      </w:r>
      <w:proofErr w:type="gramEnd"/>
      <w:r w:rsidRPr="00521983">
        <w:rPr>
          <w:rFonts w:ascii="Times New Roman" w:eastAsia="Times New Roman" w:hAnsi="Times New Roman" w:cs="Times New Roman"/>
          <w:color w:val="000000"/>
          <w:sz w:val="28"/>
          <w:szCs w:val="28"/>
        </w:rPr>
        <w:t xml:space="preserve"> dõi các thông tin an toàn liên quan đến colistin để xác định và đánh giá các nguy cơ tiềm ẩn. Bộ Y tế Canada sẽ thực hiện các biện pháp phù hợp và kịp thời khi phát hiện ra nguy cơ </w:t>
      </w:r>
      <w:proofErr w:type="gramStart"/>
      <w:r w:rsidRPr="00521983">
        <w:rPr>
          <w:rFonts w:ascii="Times New Roman" w:eastAsia="Times New Roman" w:hAnsi="Times New Roman" w:cs="Times New Roman"/>
          <w:color w:val="000000"/>
          <w:sz w:val="28"/>
          <w:szCs w:val="28"/>
        </w:rPr>
        <w:t>an</w:t>
      </w:r>
      <w:proofErr w:type="gramEnd"/>
      <w:r w:rsidRPr="00521983">
        <w:rPr>
          <w:rFonts w:ascii="Times New Roman" w:eastAsia="Times New Roman" w:hAnsi="Times New Roman" w:cs="Times New Roman"/>
          <w:color w:val="000000"/>
          <w:sz w:val="28"/>
          <w:szCs w:val="28"/>
        </w:rPr>
        <w:t xml:space="preserve"> toàn mới.</w:t>
      </w:r>
    </w:p>
    <w:p w:rsidR="00A033E8" w:rsidRPr="00521983" w:rsidRDefault="00A033E8" w:rsidP="00521983">
      <w:pPr>
        <w:spacing w:after="0" w:line="240" w:lineRule="auto"/>
        <w:rPr>
          <w:rFonts w:ascii="Times New Roman" w:eastAsia="Times New Roman" w:hAnsi="Times New Roman" w:cs="Times New Roman"/>
          <w:color w:val="414141"/>
        </w:rPr>
      </w:pPr>
      <w:r w:rsidRPr="00521983">
        <w:rPr>
          <w:rFonts w:ascii="Times New Roman" w:eastAsia="Times New Roman" w:hAnsi="Times New Roman" w:cs="Times New Roman"/>
          <w:color w:val="414141"/>
        </w:rPr>
        <w:t>Nguồn: </w:t>
      </w:r>
      <w:hyperlink r:id="rId7" w:history="1">
        <w:r w:rsidR="00521983" w:rsidRPr="00521983">
          <w:rPr>
            <w:rStyle w:val="Hyperlink"/>
            <w:rFonts w:ascii="Times New Roman" w:eastAsia="Times New Roman" w:hAnsi="Times New Roman" w:cs="Times New Roman"/>
            <w:bdr w:val="none" w:sz="0" w:space="0" w:color="auto" w:frame="1"/>
          </w:rPr>
          <w:t>https://dhpp.hpfb-dgpsa.ca/reviewdocuments/resource/SSR1705515920269</w:t>
        </w:r>
      </w:hyperlink>
    </w:p>
    <w:p w:rsidR="008D1E85" w:rsidRPr="009F5F93" w:rsidRDefault="000C63FE" w:rsidP="00521983">
      <w:pPr>
        <w:spacing w:after="0" w:line="240" w:lineRule="auto"/>
        <w:rPr>
          <w:rFonts w:ascii="Times New Roman" w:eastAsia="Times New Roman" w:hAnsi="Times New Roman" w:cs="Times New Roman"/>
          <w:b/>
          <w:bCs/>
          <w:color w:val="FF0000"/>
          <w:sz w:val="28"/>
          <w:szCs w:val="28"/>
          <w:lang w:val="vi-VN"/>
        </w:rPr>
      </w:pPr>
      <w:r w:rsidRPr="00521983">
        <w:rPr>
          <w:rFonts w:ascii="Times New Roman" w:eastAsia="Times New Roman" w:hAnsi="Times New Roman" w:cs="Times New Roman"/>
          <w:b/>
          <w:bCs/>
          <w:color w:val="FF0000"/>
          <w:sz w:val="28"/>
          <w:szCs w:val="28"/>
          <w:highlight w:val="yellow"/>
          <w:lang w:val="vi-VN"/>
        </w:rPr>
        <w:t xml:space="preserve">IV. </w:t>
      </w:r>
      <w:r w:rsidR="008D1E85" w:rsidRPr="00521983">
        <w:rPr>
          <w:rFonts w:ascii="Times New Roman" w:eastAsia="Times New Roman" w:hAnsi="Times New Roman" w:cs="Times New Roman"/>
          <w:b/>
          <w:bCs/>
          <w:color w:val="FF0000"/>
          <w:sz w:val="28"/>
          <w:szCs w:val="28"/>
          <w:highlight w:val="yellow"/>
        </w:rPr>
        <w:t>TGA: Nguy cơ tổn thương gan khi sử dụng thuốc hoặc thực phẩm chức năng chứa quả bứa (Garcinia cambogia)</w:t>
      </w:r>
    </w:p>
    <w:p w:rsidR="008D1E85" w:rsidRPr="00521983" w:rsidRDefault="008D1E85" w:rsidP="009F5F93">
      <w:pPr>
        <w:spacing w:after="0" w:line="240" w:lineRule="auto"/>
        <w:ind w:firstLine="720"/>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313131"/>
          <w:sz w:val="28"/>
          <w:szCs w:val="28"/>
        </w:rPr>
        <w:t xml:space="preserve">TGA nhận thấy có sự gia tăng số lượng báo cáo các ca tổn thương gan do sử dụng sản phẩm có chứa quả bứa trong y văn. Báo cáo y văn trước đây thường liên </w:t>
      </w:r>
      <w:r w:rsidRPr="00521983">
        <w:rPr>
          <w:rFonts w:ascii="Times New Roman" w:eastAsia="Times New Roman" w:hAnsi="Times New Roman" w:cs="Times New Roman"/>
          <w:color w:val="313131"/>
          <w:sz w:val="28"/>
          <w:szCs w:val="28"/>
        </w:rPr>
        <w:lastRenderedPageBreak/>
        <w:t>quan đến các thành phần bổ sung có thể dẫn đến tổn thương gan, nhưng gần đây nhiều trường hợp tổn thương gan chỉ nghi ngờ duy nhất thành phần quả bứa.</w:t>
      </w:r>
    </w:p>
    <w:p w:rsidR="008D1E85" w:rsidRPr="00521983" w:rsidRDefault="008D1E85"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009F5F93">
        <w:rPr>
          <w:rFonts w:ascii="Times New Roman" w:eastAsia="Times New Roman" w:hAnsi="Times New Roman" w:cs="Times New Roman"/>
          <w:color w:val="414141"/>
          <w:sz w:val="28"/>
          <w:szCs w:val="28"/>
          <w:lang w:val="vi-VN"/>
        </w:rPr>
        <w:tab/>
      </w:r>
      <w:proofErr w:type="gramStart"/>
      <w:r w:rsidRPr="00521983">
        <w:rPr>
          <w:rFonts w:ascii="Times New Roman" w:eastAsia="Times New Roman" w:hAnsi="Times New Roman" w:cs="Times New Roman"/>
          <w:color w:val="313131"/>
          <w:sz w:val="28"/>
          <w:szCs w:val="28"/>
        </w:rPr>
        <w:t>Trong số các báo cáo được ghi nhận, nhiều trường hợp có biểu hiện nghiêm trọng và phải nhập viện.</w:t>
      </w:r>
      <w:proofErr w:type="gramEnd"/>
      <w:r w:rsidRPr="00521983">
        <w:rPr>
          <w:rFonts w:ascii="Times New Roman" w:eastAsia="Times New Roman" w:hAnsi="Times New Roman" w:cs="Times New Roman"/>
          <w:color w:val="313131"/>
          <w:sz w:val="28"/>
          <w:szCs w:val="28"/>
        </w:rPr>
        <w:t xml:space="preserve"> </w:t>
      </w:r>
      <w:proofErr w:type="gramStart"/>
      <w:r w:rsidRPr="00521983">
        <w:rPr>
          <w:rFonts w:ascii="Times New Roman" w:eastAsia="Times New Roman" w:hAnsi="Times New Roman" w:cs="Times New Roman"/>
          <w:color w:val="313131"/>
          <w:sz w:val="28"/>
          <w:szCs w:val="28"/>
        </w:rPr>
        <w:t>Đáng chú ý, có 5 trường hợp phải ghép gan, một ca trong số đó là người Úc.</w:t>
      </w:r>
      <w:proofErr w:type="gramEnd"/>
      <w:r w:rsidR="008F5FDE">
        <w:rPr>
          <w:rFonts w:ascii="Times New Roman" w:eastAsia="Times New Roman" w:hAnsi="Times New Roman" w:cs="Times New Roman"/>
          <w:color w:val="414141"/>
          <w:sz w:val="28"/>
          <w:szCs w:val="28"/>
          <w:lang w:val="vi-VN"/>
        </w:rPr>
        <w:t xml:space="preserve"> </w:t>
      </w:r>
      <w:proofErr w:type="gramStart"/>
      <w:r w:rsidRPr="00521983">
        <w:rPr>
          <w:rFonts w:ascii="Times New Roman" w:eastAsia="Times New Roman" w:hAnsi="Times New Roman" w:cs="Times New Roman"/>
          <w:color w:val="313131"/>
          <w:sz w:val="28"/>
          <w:szCs w:val="28"/>
        </w:rPr>
        <w:t>TGA cũng nhận thấy nhiều ca tổn thương gan được ghi nhận ở cơ quan quản lý của các quốc gia khác.</w:t>
      </w:r>
      <w:proofErr w:type="gramEnd"/>
    </w:p>
    <w:p w:rsidR="008D1E85" w:rsidRPr="00521983" w:rsidRDefault="008D1E85"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009F5F93">
        <w:rPr>
          <w:rFonts w:ascii="Times New Roman" w:eastAsia="Times New Roman" w:hAnsi="Times New Roman" w:cs="Times New Roman"/>
          <w:color w:val="414141"/>
          <w:sz w:val="28"/>
          <w:szCs w:val="28"/>
          <w:lang w:val="vi-VN"/>
        </w:rPr>
        <w:tab/>
      </w:r>
      <w:r w:rsidRPr="00521983">
        <w:rPr>
          <w:rFonts w:ascii="Times New Roman" w:eastAsia="Times New Roman" w:hAnsi="Times New Roman" w:cs="Times New Roman"/>
          <w:color w:val="313131"/>
          <w:sz w:val="28"/>
          <w:szCs w:val="28"/>
        </w:rPr>
        <w:t xml:space="preserve">Tại Úc, TGA đã nhận được một số lượng nhỏ báo cáo tổn thương gan có khả năng liên quan đến thành phần quả bứa. </w:t>
      </w:r>
      <w:proofErr w:type="gramStart"/>
      <w:r w:rsidRPr="00521983">
        <w:rPr>
          <w:rFonts w:ascii="Times New Roman" w:eastAsia="Times New Roman" w:hAnsi="Times New Roman" w:cs="Times New Roman"/>
          <w:color w:val="313131"/>
          <w:sz w:val="28"/>
          <w:szCs w:val="28"/>
        </w:rPr>
        <w:t>Tuy nhiên hầu hết báo cáo ghi nhận thông tin hạn chế về thuốc được sử dụng trong khi một số báo cáo khác cho thấy tổn thương gan có thể liên quan đến các thành phần khác.</w:t>
      </w:r>
      <w:proofErr w:type="gramEnd"/>
    </w:p>
    <w:p w:rsidR="008D1E85" w:rsidRPr="00521983" w:rsidRDefault="008D1E85"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009F5F93">
        <w:rPr>
          <w:rFonts w:ascii="Times New Roman" w:eastAsia="Times New Roman" w:hAnsi="Times New Roman" w:cs="Times New Roman"/>
          <w:color w:val="414141"/>
          <w:sz w:val="28"/>
          <w:szCs w:val="28"/>
          <w:lang w:val="vi-VN"/>
        </w:rPr>
        <w:tab/>
      </w:r>
      <w:r w:rsidRPr="00521983">
        <w:rPr>
          <w:rFonts w:ascii="Times New Roman" w:eastAsia="Times New Roman" w:hAnsi="Times New Roman" w:cs="Times New Roman"/>
          <w:color w:val="313131"/>
          <w:sz w:val="28"/>
          <w:szCs w:val="28"/>
        </w:rPr>
        <w:t xml:space="preserve">Phản hồi về nguy cơ </w:t>
      </w:r>
      <w:proofErr w:type="gramStart"/>
      <w:r w:rsidRPr="00521983">
        <w:rPr>
          <w:rFonts w:ascii="Times New Roman" w:eastAsia="Times New Roman" w:hAnsi="Times New Roman" w:cs="Times New Roman"/>
          <w:color w:val="313131"/>
          <w:sz w:val="28"/>
          <w:szCs w:val="28"/>
        </w:rPr>
        <w:t>an</w:t>
      </w:r>
      <w:proofErr w:type="gramEnd"/>
      <w:r w:rsidRPr="00521983">
        <w:rPr>
          <w:rFonts w:ascii="Times New Roman" w:eastAsia="Times New Roman" w:hAnsi="Times New Roman" w:cs="Times New Roman"/>
          <w:color w:val="313131"/>
          <w:sz w:val="28"/>
          <w:szCs w:val="28"/>
        </w:rPr>
        <w:t xml:space="preserve"> toàn này, TGA đã tìm hiểu về nguy cơ tổn thương gan liên quan thành phần quả bứa và acid hydroxycitric tự nhiên. Bằng chứng hiện có cho thấy nguy cơ tổn thương gan hiếm gặp do sử dụng quả bứa hoặc acid hydroxycitric. Tổn thương gan có thể xảy ra khi sử dụng thành phần khác chứa acid hydroxycitric</w:t>
      </w:r>
    </w:p>
    <w:p w:rsidR="008D1E85" w:rsidRPr="00521983" w:rsidRDefault="008D1E85" w:rsidP="008F5FDE">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b/>
          <w:bCs/>
          <w:color w:val="000000"/>
          <w:sz w:val="28"/>
          <w:szCs w:val="28"/>
        </w:rPr>
        <w:t>Thông tin về chi Bứa (</w:t>
      </w:r>
      <w:r w:rsidRPr="00521983">
        <w:rPr>
          <w:rFonts w:ascii="Times New Roman" w:eastAsia="Times New Roman" w:hAnsi="Times New Roman" w:cs="Times New Roman"/>
          <w:b/>
          <w:bCs/>
          <w:i/>
          <w:iCs/>
          <w:color w:val="000000"/>
          <w:sz w:val="28"/>
          <w:szCs w:val="28"/>
        </w:rPr>
        <w:t>Garcinia</w:t>
      </w:r>
      <w:proofErr w:type="gramStart"/>
      <w:r w:rsidRPr="00521983">
        <w:rPr>
          <w:rFonts w:ascii="Times New Roman" w:eastAsia="Times New Roman" w:hAnsi="Times New Roman" w:cs="Times New Roman"/>
          <w:b/>
          <w:bCs/>
          <w:color w:val="000000"/>
          <w:sz w:val="28"/>
          <w:szCs w:val="28"/>
        </w:rPr>
        <w:t>)</w:t>
      </w:r>
      <w:r w:rsidR="008F5FDE">
        <w:rPr>
          <w:rFonts w:ascii="Times New Roman" w:eastAsia="Times New Roman" w:hAnsi="Times New Roman" w:cs="Times New Roman"/>
          <w:color w:val="414141"/>
          <w:sz w:val="28"/>
          <w:szCs w:val="28"/>
          <w:lang w:val="vi-VN"/>
        </w:rPr>
        <w:t xml:space="preserve"> :</w:t>
      </w:r>
      <w:proofErr w:type="gramEnd"/>
      <w:r w:rsidRPr="00521983">
        <w:rPr>
          <w:rFonts w:ascii="Times New Roman" w:eastAsia="Times New Roman" w:hAnsi="Times New Roman" w:cs="Times New Roman"/>
          <w:color w:val="000000"/>
          <w:sz w:val="28"/>
          <w:szCs w:val="28"/>
        </w:rPr>
        <w:t>Thuốc và thực phẩm chức năng chứa quả bứa (</w:t>
      </w:r>
      <w:r w:rsidRPr="00521983">
        <w:rPr>
          <w:rFonts w:ascii="Times New Roman" w:eastAsia="Times New Roman" w:hAnsi="Times New Roman" w:cs="Times New Roman"/>
          <w:i/>
          <w:iCs/>
          <w:color w:val="000000"/>
          <w:sz w:val="28"/>
          <w:szCs w:val="28"/>
        </w:rPr>
        <w:t xml:space="preserve">Garcinia gummi-gutta </w:t>
      </w:r>
      <w:r w:rsidRPr="00521983">
        <w:rPr>
          <w:rFonts w:ascii="Times New Roman" w:eastAsia="Times New Roman" w:hAnsi="Times New Roman" w:cs="Times New Roman"/>
          <w:color w:val="000000"/>
          <w:sz w:val="28"/>
          <w:szCs w:val="28"/>
        </w:rPr>
        <w:t xml:space="preserve">hay được gọi là </w:t>
      </w:r>
      <w:r w:rsidRPr="00521983">
        <w:rPr>
          <w:rFonts w:ascii="Times New Roman" w:eastAsia="Times New Roman" w:hAnsi="Times New Roman" w:cs="Times New Roman"/>
          <w:i/>
          <w:iCs/>
          <w:color w:val="000000"/>
          <w:sz w:val="28"/>
          <w:szCs w:val="28"/>
        </w:rPr>
        <w:t>Garcinia cambogia</w:t>
      </w:r>
      <w:r w:rsidRPr="00521983">
        <w:rPr>
          <w:rFonts w:ascii="Times New Roman" w:eastAsia="Times New Roman" w:hAnsi="Times New Roman" w:cs="Times New Roman"/>
          <w:color w:val="000000"/>
          <w:sz w:val="28"/>
          <w:szCs w:val="28"/>
        </w:rPr>
        <w:t xml:space="preserve">) và thành phần chứa acid hydroxycitric có thể mua mà không cần có đơn thuốc hay tham khảo ý kiến nhân viên y tế. </w:t>
      </w:r>
      <w:proofErr w:type="gramStart"/>
      <w:r w:rsidRPr="00521983">
        <w:rPr>
          <w:rFonts w:ascii="Times New Roman" w:eastAsia="Times New Roman" w:hAnsi="Times New Roman" w:cs="Times New Roman"/>
          <w:color w:val="000000"/>
          <w:sz w:val="28"/>
          <w:szCs w:val="28"/>
        </w:rPr>
        <w:t xml:space="preserve">Vỏ của </w:t>
      </w:r>
      <w:r w:rsidRPr="00521983">
        <w:rPr>
          <w:rFonts w:ascii="Times New Roman" w:eastAsia="Times New Roman" w:hAnsi="Times New Roman" w:cs="Times New Roman"/>
          <w:i/>
          <w:iCs/>
          <w:color w:val="000000"/>
          <w:sz w:val="28"/>
          <w:szCs w:val="28"/>
        </w:rPr>
        <w:t>Garcinia gummi-gutta</w:t>
      </w:r>
      <w:r w:rsidRPr="00521983">
        <w:rPr>
          <w:rFonts w:ascii="Times New Roman" w:eastAsia="Times New Roman" w:hAnsi="Times New Roman" w:cs="Times New Roman"/>
          <w:color w:val="000000"/>
          <w:sz w:val="28"/>
          <w:szCs w:val="28"/>
        </w:rPr>
        <w:t xml:space="preserve"> và </w:t>
      </w:r>
      <w:r w:rsidRPr="00521983">
        <w:rPr>
          <w:rFonts w:ascii="Times New Roman" w:eastAsia="Times New Roman" w:hAnsi="Times New Roman" w:cs="Times New Roman"/>
          <w:i/>
          <w:iCs/>
          <w:color w:val="000000"/>
          <w:sz w:val="28"/>
          <w:szCs w:val="28"/>
        </w:rPr>
        <w:t>Garcinia quaesita</w:t>
      </w:r>
      <w:r w:rsidRPr="00521983">
        <w:rPr>
          <w:rFonts w:ascii="Times New Roman" w:eastAsia="Times New Roman" w:hAnsi="Times New Roman" w:cs="Times New Roman"/>
          <w:color w:val="000000"/>
          <w:sz w:val="28"/>
          <w:szCs w:val="28"/>
        </w:rPr>
        <w:t xml:space="preserve"> chứa acid hydroxycitric tự nhiên.</w:t>
      </w:r>
      <w:proofErr w:type="gramEnd"/>
      <w:r w:rsidRPr="00521983">
        <w:rPr>
          <w:rFonts w:ascii="Times New Roman" w:eastAsia="Times New Roman" w:hAnsi="Times New Roman" w:cs="Times New Roman"/>
          <w:color w:val="000000"/>
          <w:sz w:val="28"/>
          <w:szCs w:val="28"/>
        </w:rPr>
        <w:t xml:space="preserve"> </w:t>
      </w:r>
      <w:proofErr w:type="gramStart"/>
      <w:r w:rsidRPr="00521983">
        <w:rPr>
          <w:rFonts w:ascii="Times New Roman" w:eastAsia="Times New Roman" w:hAnsi="Times New Roman" w:cs="Times New Roman"/>
          <w:color w:val="000000"/>
          <w:sz w:val="28"/>
          <w:szCs w:val="28"/>
        </w:rPr>
        <w:t>Acid hydroxycitric có thể được chiết xuất và là một hoạt chất trong thuốc và có trong thành phần từ Garcinia.</w:t>
      </w:r>
      <w:proofErr w:type="gramEnd"/>
    </w:p>
    <w:p w:rsidR="008D1E85" w:rsidRPr="00521983" w:rsidRDefault="008D1E85" w:rsidP="008F5FDE">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000000"/>
          <w:sz w:val="28"/>
          <w:szCs w:val="28"/>
        </w:rPr>
        <w:t xml:space="preserve">Thông tin dành cho nhân viên y </w:t>
      </w:r>
      <w:proofErr w:type="gramStart"/>
      <w:r w:rsidRPr="00521983">
        <w:rPr>
          <w:rFonts w:ascii="Times New Roman" w:eastAsia="Times New Roman" w:hAnsi="Times New Roman" w:cs="Times New Roman"/>
          <w:b/>
          <w:bCs/>
          <w:color w:val="000000"/>
          <w:sz w:val="28"/>
          <w:szCs w:val="28"/>
        </w:rPr>
        <w:t>tế</w:t>
      </w:r>
      <w:r w:rsidR="008F5FDE">
        <w:rPr>
          <w:rFonts w:ascii="Times New Roman" w:eastAsia="Times New Roman" w:hAnsi="Times New Roman" w:cs="Times New Roman"/>
          <w:color w:val="414141"/>
          <w:sz w:val="28"/>
          <w:szCs w:val="28"/>
          <w:lang w:val="vi-VN"/>
        </w:rPr>
        <w:t xml:space="preserve"> :</w:t>
      </w:r>
      <w:r w:rsidRPr="00521983">
        <w:rPr>
          <w:rFonts w:ascii="Times New Roman" w:eastAsia="Times New Roman" w:hAnsi="Times New Roman" w:cs="Times New Roman"/>
          <w:color w:val="313131"/>
          <w:sz w:val="28"/>
          <w:szCs w:val="28"/>
        </w:rPr>
        <w:t>Nhân</w:t>
      </w:r>
      <w:proofErr w:type="gramEnd"/>
      <w:r w:rsidRPr="00521983">
        <w:rPr>
          <w:rFonts w:ascii="Times New Roman" w:eastAsia="Times New Roman" w:hAnsi="Times New Roman" w:cs="Times New Roman"/>
          <w:color w:val="313131"/>
          <w:sz w:val="28"/>
          <w:szCs w:val="28"/>
        </w:rPr>
        <w:t xml:space="preserve"> viên y tế cần lưu ý về nguy cơ tổn thương gan hiếm gặp các sản phẩm chứa quả bứa. Cần cân nhắc khi sử dụng các thuốc chứa thành phần từ quả bứa trên các bệnh nhân có triệu chứng tổn thương gan. </w:t>
      </w:r>
      <w:proofErr w:type="gramStart"/>
      <w:r w:rsidRPr="00521983">
        <w:rPr>
          <w:rFonts w:ascii="Times New Roman" w:eastAsia="Times New Roman" w:hAnsi="Times New Roman" w:cs="Times New Roman"/>
          <w:color w:val="313131"/>
          <w:sz w:val="28"/>
          <w:szCs w:val="28"/>
        </w:rPr>
        <w:t>Bệnh nhân đang hoặc có tiền sử bệnh gan nên tránh sử dụng các thực phẩm chức năng chứa quả bứa.</w:t>
      </w:r>
      <w:proofErr w:type="gramEnd"/>
    </w:p>
    <w:p w:rsidR="008D1E85" w:rsidRPr="00521983" w:rsidRDefault="008D1E85"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b/>
          <w:bCs/>
          <w:color w:val="313131"/>
          <w:sz w:val="28"/>
          <w:szCs w:val="28"/>
        </w:rPr>
        <w:t>Thông tin dành cho người bệnh </w:t>
      </w:r>
    </w:p>
    <w:p w:rsidR="008D1E85" w:rsidRPr="00521983" w:rsidRDefault="008D1E85" w:rsidP="00521983">
      <w:pPr>
        <w:spacing w:after="0" w:line="240" w:lineRule="auto"/>
        <w:jc w:val="both"/>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313131"/>
          <w:sz w:val="28"/>
          <w:szCs w:val="28"/>
        </w:rPr>
        <w:t>Người bệnh nên dừng ngay thuốc và thực phẩm chức năng chứa thành phần kể trên và thông báo với nhân viên y tế nếu xuất hiện các triệu chứng sau đây:</w:t>
      </w:r>
    </w:p>
    <w:p w:rsidR="008D1E85" w:rsidRPr="00521983" w:rsidRDefault="008D1E85" w:rsidP="009F5F9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Vàng da hoặc mắt</w:t>
      </w:r>
    </w:p>
    <w:p w:rsidR="008D1E85" w:rsidRPr="00521983" w:rsidRDefault="008D1E85" w:rsidP="009F5F9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Nước tiểu sậm</w:t>
      </w:r>
    </w:p>
    <w:p w:rsidR="008D1E85" w:rsidRPr="00521983" w:rsidRDefault="008D1E85" w:rsidP="009F5F9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Buồn nôn</w:t>
      </w:r>
    </w:p>
    <w:p w:rsidR="008D1E85" w:rsidRPr="00521983" w:rsidRDefault="008D1E85" w:rsidP="009F5F9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Nôn mửa</w:t>
      </w:r>
    </w:p>
    <w:p w:rsidR="008D1E85" w:rsidRPr="00521983" w:rsidRDefault="008D1E85" w:rsidP="009F5F9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Mệt mỏi bất thường</w:t>
      </w:r>
    </w:p>
    <w:p w:rsidR="008D1E85" w:rsidRPr="00521983" w:rsidRDefault="008D1E85" w:rsidP="009F5F9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Yếu</w:t>
      </w:r>
    </w:p>
    <w:p w:rsidR="008D1E85" w:rsidRPr="00521983" w:rsidRDefault="008D1E85" w:rsidP="009F5F9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Đau dạ dày hoặc đau bụng</w:t>
      </w:r>
    </w:p>
    <w:p w:rsidR="008D1E85" w:rsidRPr="00521983" w:rsidRDefault="008D1E85" w:rsidP="009F5F93">
      <w:pPr>
        <w:spacing w:after="0" w:line="240" w:lineRule="auto"/>
        <w:rPr>
          <w:rFonts w:ascii="Times New Roman" w:eastAsia="Times New Roman" w:hAnsi="Times New Roman" w:cs="Times New Roman"/>
          <w:color w:val="414141"/>
          <w:sz w:val="28"/>
          <w:szCs w:val="28"/>
        </w:rPr>
      </w:pPr>
      <w:r w:rsidRPr="00521983">
        <w:rPr>
          <w:rFonts w:ascii="Times New Roman" w:eastAsia="Times New Roman" w:hAnsi="Times New Roman" w:cs="Times New Roman"/>
          <w:color w:val="414141"/>
          <w:sz w:val="28"/>
          <w:szCs w:val="28"/>
        </w:rPr>
        <w:t> - Mất cảm giác thèm ăn</w:t>
      </w:r>
    </w:p>
    <w:p w:rsidR="008F5FDE" w:rsidRDefault="008D1E85" w:rsidP="008F5FDE">
      <w:pPr>
        <w:spacing w:after="0" w:line="240" w:lineRule="auto"/>
        <w:rPr>
          <w:rFonts w:ascii="Times New Roman" w:eastAsia="Times New Roman" w:hAnsi="Times New Roman" w:cs="Times New Roman"/>
          <w:color w:val="414141"/>
          <w:sz w:val="28"/>
          <w:szCs w:val="28"/>
          <w:lang w:val="vi-VN"/>
        </w:rPr>
      </w:pPr>
      <w:r w:rsidRPr="00521983">
        <w:rPr>
          <w:rFonts w:ascii="Times New Roman" w:eastAsia="Times New Roman" w:hAnsi="Times New Roman" w:cs="Times New Roman"/>
          <w:color w:val="414141"/>
          <w:sz w:val="28"/>
          <w:szCs w:val="28"/>
        </w:rPr>
        <w:t> </w:t>
      </w:r>
      <w:r w:rsidRPr="00521983">
        <w:rPr>
          <w:rFonts w:ascii="Times New Roman" w:eastAsia="Times New Roman" w:hAnsi="Times New Roman" w:cs="Times New Roman"/>
          <w:color w:val="313131"/>
          <w:sz w:val="28"/>
          <w:szCs w:val="28"/>
        </w:rPr>
        <w:t>Bệnh nhân đang hoặc có tiền sử bệnh gan nên tránh sử dụng các thuốc hoặc thực phẩm chức năng chứa quả bứa.</w:t>
      </w:r>
      <w:r w:rsidRPr="008D1E85">
        <w:rPr>
          <w:rFonts w:ascii="Arial" w:eastAsia="Times New Roman" w:hAnsi="Arial" w:cs="Arial"/>
          <w:color w:val="000000"/>
          <w:sz w:val="21"/>
          <w:szCs w:val="21"/>
        </w:rPr>
        <w:t xml:space="preserve">Nguồn: </w:t>
      </w:r>
      <w:hyperlink r:id="rId8" w:history="1">
        <w:r w:rsidRPr="008D1E85">
          <w:rPr>
            <w:rFonts w:ascii="Arial" w:eastAsia="Times New Roman" w:hAnsi="Arial" w:cs="Arial"/>
            <w:color w:val="0000FF"/>
            <w:sz w:val="18"/>
            <w:szCs w:val="18"/>
            <w:bdr w:val="none" w:sz="0" w:space="0" w:color="auto" w:frame="1"/>
          </w:rPr>
          <w:t>Medicines containing Garcinia gummi-gutta (Garcinia cambogia) or hydroxycitric acid (HCA) | Therapeutic Goods Administration (TGA</w:t>
        </w:r>
      </w:hyperlink>
      <w:r>
        <w:rPr>
          <w:rFonts w:ascii="Arial" w:eastAsia="Times New Roman" w:hAnsi="Arial" w:cs="Arial"/>
          <w:color w:val="414141"/>
          <w:sz w:val="18"/>
          <w:szCs w:val="18"/>
        </w:rPr>
        <w:t>)</w:t>
      </w:r>
      <w:r w:rsidR="008F5FDE">
        <w:rPr>
          <w:rFonts w:ascii="Times New Roman" w:eastAsia="Times New Roman" w:hAnsi="Times New Roman" w:cs="Times New Roman"/>
          <w:color w:val="414141"/>
          <w:sz w:val="28"/>
          <w:szCs w:val="28"/>
          <w:lang w:val="vi-VN"/>
        </w:rPr>
        <w:t xml:space="preserve"> </w:t>
      </w:r>
    </w:p>
    <w:p w:rsidR="008F5FDE" w:rsidRDefault="008F5FDE" w:rsidP="008F5FDE">
      <w:pPr>
        <w:spacing w:after="0" w:line="240" w:lineRule="auto"/>
        <w:ind w:left="3600" w:firstLine="720"/>
        <w:rPr>
          <w:rFonts w:ascii="Times New Roman" w:eastAsia="Times New Roman" w:hAnsi="Times New Roman" w:cs="Times New Roman"/>
          <w:color w:val="414141"/>
          <w:sz w:val="28"/>
          <w:szCs w:val="28"/>
          <w:lang w:val="vi-VN"/>
        </w:rPr>
      </w:pPr>
    </w:p>
    <w:p w:rsidR="00A033E8" w:rsidRPr="008F5FDE" w:rsidRDefault="008F5FDE" w:rsidP="008F5FDE">
      <w:pPr>
        <w:spacing w:after="0" w:line="240" w:lineRule="auto"/>
        <w:ind w:left="3600" w:firstLine="720"/>
        <w:rPr>
          <w:rFonts w:ascii="Times New Roman" w:eastAsia="Times New Roman" w:hAnsi="Times New Roman" w:cs="Times New Roman"/>
          <w:color w:val="414141"/>
          <w:sz w:val="28"/>
          <w:szCs w:val="28"/>
          <w:lang w:val="vi-VN"/>
        </w:rPr>
      </w:pPr>
      <w:bookmarkStart w:id="0" w:name="_GoBack"/>
      <w:bookmarkEnd w:id="0"/>
      <w:r>
        <w:rPr>
          <w:rFonts w:ascii="Times New Roman" w:eastAsia="Times New Roman" w:hAnsi="Times New Roman" w:cs="Times New Roman"/>
          <w:color w:val="414141"/>
          <w:sz w:val="28"/>
          <w:szCs w:val="28"/>
          <w:lang w:val="vi-VN"/>
        </w:rPr>
        <w:t xml:space="preserve"> </w:t>
      </w:r>
      <w:r w:rsidR="000C63FE" w:rsidRPr="009F5F93">
        <w:rPr>
          <w:rFonts w:ascii="Times New Roman" w:hAnsi="Times New Roman" w:cs="Times New Roman"/>
          <w:b/>
          <w:sz w:val="28"/>
          <w:szCs w:val="28"/>
          <w:lang w:val="vi-VN"/>
        </w:rPr>
        <w:t>ĐƠN VỊ THÔNG TIN THUỐC</w:t>
      </w:r>
    </w:p>
    <w:sectPr w:rsidR="00A033E8" w:rsidRPr="008F5FDE" w:rsidSect="0052198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FF"/>
    <w:rsid w:val="000C63FE"/>
    <w:rsid w:val="00260377"/>
    <w:rsid w:val="004E12FF"/>
    <w:rsid w:val="00521983"/>
    <w:rsid w:val="008731FE"/>
    <w:rsid w:val="008B3222"/>
    <w:rsid w:val="008D1E85"/>
    <w:rsid w:val="008F5FDE"/>
    <w:rsid w:val="009F5F93"/>
    <w:rsid w:val="00A033E8"/>
    <w:rsid w:val="00D33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8B3222"/>
    <w:pPr>
      <w:keepNext/>
      <w:spacing w:after="0" w:line="240" w:lineRule="auto"/>
      <w:ind w:right="22"/>
      <w:outlineLvl w:val="4"/>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12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12FF"/>
    <w:rPr>
      <w:color w:val="0000FF"/>
      <w:u w:val="single"/>
    </w:rPr>
  </w:style>
  <w:style w:type="character" w:styleId="Strong">
    <w:name w:val="Strong"/>
    <w:basedOn w:val="DefaultParagraphFont"/>
    <w:uiPriority w:val="22"/>
    <w:qFormat/>
    <w:rsid w:val="00A033E8"/>
    <w:rPr>
      <w:b/>
      <w:bCs/>
    </w:rPr>
  </w:style>
  <w:style w:type="character" w:styleId="Emphasis">
    <w:name w:val="Emphasis"/>
    <w:basedOn w:val="DefaultParagraphFont"/>
    <w:uiPriority w:val="20"/>
    <w:qFormat/>
    <w:rsid w:val="00A033E8"/>
    <w:rPr>
      <w:i/>
      <w:iCs/>
    </w:rPr>
  </w:style>
  <w:style w:type="character" w:customStyle="1" w:styleId="Heading5Char">
    <w:name w:val="Heading 5 Char"/>
    <w:basedOn w:val="DefaultParagraphFont"/>
    <w:link w:val="Heading5"/>
    <w:rsid w:val="008B3222"/>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8B3222"/>
    <w:pPr>
      <w:keepNext/>
      <w:spacing w:after="0" w:line="240" w:lineRule="auto"/>
      <w:ind w:right="22"/>
      <w:outlineLvl w:val="4"/>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12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12FF"/>
    <w:rPr>
      <w:color w:val="0000FF"/>
      <w:u w:val="single"/>
    </w:rPr>
  </w:style>
  <w:style w:type="character" w:styleId="Strong">
    <w:name w:val="Strong"/>
    <w:basedOn w:val="DefaultParagraphFont"/>
    <w:uiPriority w:val="22"/>
    <w:qFormat/>
    <w:rsid w:val="00A033E8"/>
    <w:rPr>
      <w:b/>
      <w:bCs/>
    </w:rPr>
  </w:style>
  <w:style w:type="character" w:styleId="Emphasis">
    <w:name w:val="Emphasis"/>
    <w:basedOn w:val="DefaultParagraphFont"/>
    <w:uiPriority w:val="20"/>
    <w:qFormat/>
    <w:rsid w:val="00A033E8"/>
    <w:rPr>
      <w:i/>
      <w:iCs/>
    </w:rPr>
  </w:style>
  <w:style w:type="character" w:customStyle="1" w:styleId="Heading5Char">
    <w:name w:val="Heading 5 Char"/>
    <w:basedOn w:val="DefaultParagraphFont"/>
    <w:link w:val="Heading5"/>
    <w:rsid w:val="008B3222"/>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68393">
      <w:bodyDiv w:val="1"/>
      <w:marLeft w:val="0"/>
      <w:marRight w:val="0"/>
      <w:marTop w:val="0"/>
      <w:marBottom w:val="0"/>
      <w:divBdr>
        <w:top w:val="none" w:sz="0" w:space="0" w:color="auto"/>
        <w:left w:val="none" w:sz="0" w:space="0" w:color="auto"/>
        <w:bottom w:val="none" w:sz="0" w:space="0" w:color="auto"/>
        <w:right w:val="none" w:sz="0" w:space="0" w:color="auto"/>
      </w:divBdr>
      <w:divsChild>
        <w:div w:id="253586831">
          <w:marLeft w:val="0"/>
          <w:marRight w:val="0"/>
          <w:marTop w:val="0"/>
          <w:marBottom w:val="0"/>
          <w:divBdr>
            <w:top w:val="none" w:sz="0" w:space="0" w:color="auto"/>
            <w:left w:val="none" w:sz="0" w:space="0" w:color="auto"/>
            <w:bottom w:val="none" w:sz="0" w:space="0" w:color="auto"/>
            <w:right w:val="none" w:sz="0" w:space="0" w:color="auto"/>
          </w:divBdr>
        </w:div>
        <w:div w:id="951285892">
          <w:marLeft w:val="0"/>
          <w:marRight w:val="0"/>
          <w:marTop w:val="0"/>
          <w:marBottom w:val="0"/>
          <w:divBdr>
            <w:top w:val="none" w:sz="0" w:space="0" w:color="auto"/>
            <w:left w:val="none" w:sz="0" w:space="0" w:color="auto"/>
            <w:bottom w:val="none" w:sz="0" w:space="0" w:color="auto"/>
            <w:right w:val="none" w:sz="0" w:space="0" w:color="auto"/>
          </w:divBdr>
        </w:div>
      </w:divsChild>
    </w:div>
    <w:div w:id="1097866854">
      <w:bodyDiv w:val="1"/>
      <w:marLeft w:val="0"/>
      <w:marRight w:val="0"/>
      <w:marTop w:val="0"/>
      <w:marBottom w:val="0"/>
      <w:divBdr>
        <w:top w:val="none" w:sz="0" w:space="0" w:color="auto"/>
        <w:left w:val="none" w:sz="0" w:space="0" w:color="auto"/>
        <w:bottom w:val="none" w:sz="0" w:space="0" w:color="auto"/>
        <w:right w:val="none" w:sz="0" w:space="0" w:color="auto"/>
      </w:divBdr>
      <w:divsChild>
        <w:div w:id="426004666">
          <w:marLeft w:val="0"/>
          <w:marRight w:val="0"/>
          <w:marTop w:val="0"/>
          <w:marBottom w:val="0"/>
          <w:divBdr>
            <w:top w:val="none" w:sz="0" w:space="0" w:color="auto"/>
            <w:left w:val="none" w:sz="0" w:space="0" w:color="auto"/>
            <w:bottom w:val="none" w:sz="0" w:space="0" w:color="auto"/>
            <w:right w:val="none" w:sz="0" w:space="0" w:color="auto"/>
          </w:divBdr>
        </w:div>
        <w:div w:id="111367222">
          <w:marLeft w:val="0"/>
          <w:marRight w:val="0"/>
          <w:marTop w:val="0"/>
          <w:marBottom w:val="0"/>
          <w:divBdr>
            <w:top w:val="none" w:sz="0" w:space="0" w:color="auto"/>
            <w:left w:val="none" w:sz="0" w:space="0" w:color="auto"/>
            <w:bottom w:val="none" w:sz="0" w:space="0" w:color="auto"/>
            <w:right w:val="none" w:sz="0" w:space="0" w:color="auto"/>
          </w:divBdr>
        </w:div>
      </w:divsChild>
    </w:div>
    <w:div w:id="1918513269">
      <w:bodyDiv w:val="1"/>
      <w:marLeft w:val="0"/>
      <w:marRight w:val="0"/>
      <w:marTop w:val="0"/>
      <w:marBottom w:val="0"/>
      <w:divBdr>
        <w:top w:val="none" w:sz="0" w:space="0" w:color="auto"/>
        <w:left w:val="none" w:sz="0" w:space="0" w:color="auto"/>
        <w:bottom w:val="none" w:sz="0" w:space="0" w:color="auto"/>
        <w:right w:val="none" w:sz="0" w:space="0" w:color="auto"/>
      </w:divBdr>
      <w:divsChild>
        <w:div w:id="1400716172">
          <w:marLeft w:val="0"/>
          <w:marRight w:val="0"/>
          <w:marTop w:val="0"/>
          <w:marBottom w:val="0"/>
          <w:divBdr>
            <w:top w:val="none" w:sz="0" w:space="0" w:color="auto"/>
            <w:left w:val="none" w:sz="0" w:space="0" w:color="auto"/>
            <w:bottom w:val="none" w:sz="0" w:space="0" w:color="auto"/>
            <w:right w:val="none" w:sz="0" w:space="0" w:color="auto"/>
          </w:divBdr>
        </w:div>
        <w:div w:id="357704643">
          <w:marLeft w:val="0"/>
          <w:marRight w:val="0"/>
          <w:marTop w:val="0"/>
          <w:marBottom w:val="0"/>
          <w:divBdr>
            <w:top w:val="none" w:sz="0" w:space="0" w:color="auto"/>
            <w:left w:val="none" w:sz="0" w:space="0" w:color="auto"/>
            <w:bottom w:val="none" w:sz="0" w:space="0" w:color="auto"/>
            <w:right w:val="none" w:sz="0" w:space="0" w:color="auto"/>
          </w:divBdr>
        </w:div>
      </w:divsChild>
    </w:div>
    <w:div w:id="1979602095">
      <w:bodyDiv w:val="1"/>
      <w:marLeft w:val="0"/>
      <w:marRight w:val="0"/>
      <w:marTop w:val="0"/>
      <w:marBottom w:val="0"/>
      <w:divBdr>
        <w:top w:val="none" w:sz="0" w:space="0" w:color="auto"/>
        <w:left w:val="none" w:sz="0" w:space="0" w:color="auto"/>
        <w:bottom w:val="none" w:sz="0" w:space="0" w:color="auto"/>
        <w:right w:val="none" w:sz="0" w:space="0" w:color="auto"/>
      </w:divBdr>
      <w:divsChild>
        <w:div w:id="2012874716">
          <w:marLeft w:val="0"/>
          <w:marRight w:val="0"/>
          <w:marTop w:val="0"/>
          <w:marBottom w:val="0"/>
          <w:divBdr>
            <w:top w:val="none" w:sz="0" w:space="0" w:color="auto"/>
            <w:left w:val="none" w:sz="0" w:space="0" w:color="auto"/>
            <w:bottom w:val="none" w:sz="0" w:space="0" w:color="auto"/>
            <w:right w:val="none" w:sz="0" w:space="0" w:color="auto"/>
          </w:divBdr>
        </w:div>
        <w:div w:id="1976837336">
          <w:marLeft w:val="0"/>
          <w:marRight w:val="0"/>
          <w:marTop w:val="0"/>
          <w:marBottom w:val="0"/>
          <w:divBdr>
            <w:top w:val="none" w:sz="0" w:space="0" w:color="auto"/>
            <w:left w:val="none" w:sz="0" w:space="0" w:color="auto"/>
            <w:bottom w:val="none" w:sz="0" w:space="0" w:color="auto"/>
            <w:right w:val="none" w:sz="0" w:space="0" w:color="auto"/>
          </w:divBdr>
          <w:divsChild>
            <w:div w:id="213274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ga.gov.au/news/safety-alerts/medicines-containing-garcinia-gummi-gutta-garcinia-cambogia-or-hydroxycitric-acid-hca" TargetMode="External"/><Relationship Id="rId3" Type="http://schemas.openxmlformats.org/officeDocument/2006/relationships/settings" Target="settings.xml"/><Relationship Id="rId7" Type="http://schemas.openxmlformats.org/officeDocument/2006/relationships/hyperlink" Target="https://dhpp.hpfb-dgpsa.ca/reviewdocuments/resource/SSR170551592026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jamanetwork.com/journals/jamadermatology/article-abstract/2819258" TargetMode="External"/><Relationship Id="rId5" Type="http://schemas.openxmlformats.org/officeDocument/2006/relationships/hyperlink" Target="https://www.sps.nhs.uk/articles/using-clopidogrel-with-proton-pump-inhibitors-ppi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1937</Words>
  <Characters>11044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DUOC_CHITHO</dc:creator>
  <cp:lastModifiedBy>BVDKSD</cp:lastModifiedBy>
  <cp:revision>50</cp:revision>
  <dcterms:created xsi:type="dcterms:W3CDTF">2024-09-25T08:15:00Z</dcterms:created>
  <dcterms:modified xsi:type="dcterms:W3CDTF">2024-09-26T07:04:00Z</dcterms:modified>
</cp:coreProperties>
</file>